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宋体" w:hAnsi="宋体"/>
          <w:sz w:val="28"/>
          <w:szCs w:val="28"/>
        </w:rPr>
      </w:pPr>
      <w:bookmarkStart w:id="2" w:name="_GoBack"/>
      <w:r>
        <w:rPr>
          <w:rFonts w:hint="eastAsia" w:ascii="宋体" w:hAnsi="宋体"/>
          <w:sz w:val="28"/>
          <w:szCs w:val="28"/>
        </w:rPr>
        <w:t>附件2</w:t>
      </w:r>
    </w:p>
    <w:bookmarkEnd w:id="2"/>
    <w:p>
      <w:pPr>
        <w:widowControl/>
        <w:spacing w:before="100" w:beforeAutospacing="1" w:after="100" w:afterAutospacing="1" w:line="280" w:lineRule="atLeast"/>
        <w:jc w:val="left"/>
        <w:rPr>
          <w:rFonts w:ascii="ˎ̥" w:hAnsi="ˎ̥" w:cs="宋体"/>
          <w:b/>
          <w:kern w:val="0"/>
          <w:sz w:val="24"/>
        </w:rPr>
      </w:pPr>
      <w:r>
        <w:rPr>
          <w:rFonts w:ascii="ˎ̥" w:hAnsi="ˎ̥" w:cs="宋体"/>
          <w:b/>
          <w:kern w:val="0"/>
          <w:sz w:val="24"/>
        </w:rPr>
        <w:t>GJ—2002—0212</w:t>
      </w:r>
    </w:p>
    <w:p>
      <w:pPr>
        <w:widowControl/>
        <w:spacing w:line="360" w:lineRule="auto"/>
        <w:jc w:val="center"/>
        <w:rPr>
          <w:rFonts w:ascii="宋体" w:hAnsi="宋体" w:cs="宋体"/>
          <w:b/>
          <w:bCs/>
          <w:kern w:val="0"/>
          <w:sz w:val="44"/>
          <w:szCs w:val="44"/>
        </w:rPr>
      </w:pPr>
    </w:p>
    <w:p>
      <w:pPr>
        <w:widowControl/>
        <w:spacing w:line="360" w:lineRule="auto"/>
        <w:jc w:val="center"/>
        <w:rPr>
          <w:rFonts w:ascii="宋体" w:hAnsi="宋体" w:cs="宋体"/>
          <w:b/>
          <w:bCs/>
          <w:kern w:val="0"/>
          <w:sz w:val="44"/>
          <w:szCs w:val="44"/>
        </w:rPr>
      </w:pPr>
    </w:p>
    <w:p>
      <w:pPr>
        <w:widowControl/>
        <w:spacing w:line="360" w:lineRule="auto"/>
        <w:jc w:val="center"/>
        <w:rPr>
          <w:rFonts w:ascii="宋体" w:hAnsi="宋体" w:cs="宋体"/>
          <w:b/>
          <w:bCs/>
          <w:kern w:val="0"/>
          <w:sz w:val="44"/>
          <w:szCs w:val="44"/>
        </w:rPr>
      </w:pPr>
    </w:p>
    <w:p>
      <w:pPr>
        <w:widowControl/>
        <w:spacing w:line="360" w:lineRule="auto"/>
        <w:jc w:val="center"/>
        <w:rPr>
          <w:rFonts w:ascii="宋体" w:hAnsi="宋体" w:cs="宋体"/>
          <w:b/>
          <w:bCs/>
          <w:kern w:val="0"/>
          <w:sz w:val="44"/>
          <w:szCs w:val="44"/>
        </w:rPr>
      </w:pPr>
    </w:p>
    <w:p>
      <w:pPr>
        <w:widowControl/>
        <w:spacing w:line="360" w:lineRule="auto"/>
        <w:rPr>
          <w:rFonts w:ascii="宋体" w:hAnsi="宋体" w:cs="宋体"/>
          <w:b/>
          <w:bCs/>
          <w:kern w:val="0"/>
          <w:sz w:val="44"/>
          <w:szCs w:val="44"/>
        </w:rPr>
      </w:pPr>
    </w:p>
    <w:p>
      <w:pPr>
        <w:widowControl/>
        <w:spacing w:line="360" w:lineRule="auto"/>
        <w:jc w:val="center"/>
        <w:rPr>
          <w:rFonts w:ascii="宋体" w:hAnsi="宋体" w:cs="宋体"/>
          <w:b/>
          <w:bCs/>
          <w:kern w:val="0"/>
          <w:sz w:val="44"/>
          <w:szCs w:val="44"/>
        </w:rPr>
      </w:pPr>
      <w:r>
        <w:rPr>
          <w:rFonts w:ascii="宋体" w:hAnsi="宋体" w:cs="宋体"/>
          <w:b/>
          <w:bCs/>
          <w:kern w:val="0"/>
          <w:sz w:val="44"/>
          <w:szCs w:val="44"/>
        </w:rPr>
        <w:t>建设工程造价咨询合同</w:t>
      </w:r>
    </w:p>
    <w:p>
      <w:pPr>
        <w:widowControl/>
        <w:spacing w:line="360" w:lineRule="auto"/>
        <w:jc w:val="center"/>
        <w:rPr>
          <w:rFonts w:ascii="宋体" w:hAnsi="宋体" w:cs="宋体"/>
          <w:b/>
          <w:bCs/>
          <w:kern w:val="0"/>
          <w:sz w:val="32"/>
          <w:szCs w:val="32"/>
        </w:rPr>
      </w:pPr>
      <w:r>
        <w:rPr>
          <w:rFonts w:hint="eastAsia" w:ascii="宋体" w:hAnsi="宋体" w:cs="宋体"/>
          <w:kern w:val="0"/>
          <w:sz w:val="32"/>
          <w:szCs w:val="32"/>
        </w:rPr>
        <w:t>（重庆长江黄金游轮年底装饰维修工程）</w:t>
      </w: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b/>
          <w:bCs/>
          <w:kern w:val="0"/>
          <w:sz w:val="24"/>
        </w:rPr>
      </w:pPr>
    </w:p>
    <w:p>
      <w:pPr>
        <w:widowControl/>
        <w:spacing w:line="360" w:lineRule="auto"/>
        <w:jc w:val="center"/>
        <w:rPr>
          <w:rFonts w:ascii="宋体" w:hAnsi="宋体" w:cs="宋体"/>
          <w:kern w:val="0"/>
          <w:sz w:val="32"/>
          <w:szCs w:val="32"/>
        </w:rPr>
      </w:pPr>
      <w:r>
        <w:rPr>
          <w:rFonts w:hint="eastAsia" w:ascii="宋体" w:hAnsi="宋体" w:cs="宋体"/>
          <w:kern w:val="0"/>
          <w:sz w:val="32"/>
          <w:szCs w:val="32"/>
        </w:rPr>
        <w:t>中华人民共和国建设部</w:t>
      </w:r>
    </w:p>
    <w:p>
      <w:pPr>
        <w:widowControl/>
        <w:spacing w:line="360" w:lineRule="auto"/>
        <w:jc w:val="center"/>
        <w:rPr>
          <w:rFonts w:ascii="宋体" w:hAnsi="宋体" w:cs="宋体"/>
          <w:b/>
          <w:bCs/>
          <w:kern w:val="0"/>
          <w:sz w:val="24"/>
        </w:rPr>
      </w:pPr>
      <w:r>
        <w:rPr>
          <w:rFonts w:hint="eastAsia" w:ascii="宋体" w:hAnsi="宋体" w:cs="宋体"/>
          <w:kern w:val="0"/>
          <w:sz w:val="32"/>
          <w:szCs w:val="32"/>
        </w:rPr>
        <w:t>国家工商行政管理总局</w:t>
      </w:r>
    </w:p>
    <w:p>
      <w:pPr>
        <w:widowControl/>
        <w:numPr>
          <w:ilvl w:val="0"/>
          <w:numId w:val="1"/>
        </w:numPr>
        <w:spacing w:before="100" w:beforeAutospacing="1" w:after="100" w:afterAutospacing="1" w:line="360" w:lineRule="auto"/>
        <w:jc w:val="center"/>
        <w:rPr>
          <w:rFonts w:ascii="宋体" w:hAnsi="宋体" w:cs="宋体"/>
          <w:b/>
          <w:bCs/>
          <w:kern w:val="0"/>
          <w:sz w:val="24"/>
        </w:rPr>
      </w:pPr>
      <w:r>
        <w:rPr>
          <w:rFonts w:ascii="宋体" w:hAnsi="宋体" w:cs="宋体"/>
          <w:b/>
          <w:bCs/>
          <w:kern w:val="0"/>
          <w:sz w:val="24"/>
        </w:rPr>
        <w:t>分　建设工程造价咨询合同</w:t>
      </w:r>
    </w:p>
    <w:p>
      <w:pPr>
        <w:adjustRightInd w:val="0"/>
        <w:snapToGrid w:val="0"/>
        <w:spacing w:line="360" w:lineRule="auto"/>
        <w:rPr>
          <w:rFonts w:ascii="宋体" w:hAnsi="宋体"/>
          <w:b/>
          <w:sz w:val="44"/>
          <w:szCs w:val="44"/>
        </w:rPr>
      </w:pPr>
    </w:p>
    <w:p>
      <w:pPr>
        <w:widowControl/>
        <w:spacing w:line="560" w:lineRule="exact"/>
        <w:ind w:firstLine="470" w:firstLineChars="196"/>
        <w:rPr>
          <w:rFonts w:ascii="宋体" w:hAnsi="宋体" w:cs="宋体"/>
          <w:kern w:val="0"/>
          <w:sz w:val="24"/>
          <w:u w:val="single"/>
        </w:rPr>
      </w:pPr>
      <w:r>
        <w:rPr>
          <w:rFonts w:hint="eastAsia" w:ascii="宋体" w:hAnsi="宋体" w:cs="宋体"/>
          <w:kern w:val="0"/>
          <w:sz w:val="24"/>
        </w:rPr>
        <w:t>委托人（全称）:</w:t>
      </w:r>
      <w:r>
        <w:rPr>
          <w:rFonts w:hint="eastAsia" w:ascii="宋体" w:hAnsi="宋体" w:cs="宋体"/>
          <w:kern w:val="0"/>
          <w:sz w:val="24"/>
          <w:u w:val="single"/>
        </w:rPr>
        <w:t>重庆长江黄金游轮有限公司 （项目业主）</w:t>
      </w:r>
    </w:p>
    <w:p>
      <w:pPr>
        <w:widowControl/>
        <w:spacing w:line="560" w:lineRule="exact"/>
        <w:ind w:firstLine="470" w:firstLineChars="196"/>
        <w:rPr>
          <w:rFonts w:ascii="宋体" w:hAnsi="宋体" w:cs="宋体"/>
          <w:kern w:val="0"/>
          <w:sz w:val="24"/>
        </w:rPr>
      </w:pPr>
      <w:r>
        <w:rPr>
          <w:rFonts w:hint="eastAsia" w:ascii="宋体" w:hAnsi="宋体" w:cs="宋体"/>
          <w:kern w:val="0"/>
          <w:sz w:val="24"/>
        </w:rPr>
        <w:t>代建人（全称）：</w:t>
      </w:r>
      <w:r>
        <w:rPr>
          <w:rFonts w:hint="eastAsia" w:ascii="宋体" w:hAnsi="宋体" w:cs="宋体"/>
          <w:kern w:val="0"/>
          <w:sz w:val="24"/>
          <w:u w:val="single"/>
        </w:rPr>
        <w:t>重庆交旅建设工程有限公司</w:t>
      </w:r>
    </w:p>
    <w:p>
      <w:pPr>
        <w:widowControl/>
        <w:spacing w:line="560" w:lineRule="exact"/>
        <w:ind w:firstLine="470" w:firstLineChars="196"/>
        <w:rPr>
          <w:rFonts w:ascii="宋体" w:hAnsi="宋体" w:cs="宋体"/>
          <w:kern w:val="0"/>
          <w:sz w:val="24"/>
          <w:u w:val="single"/>
        </w:rPr>
      </w:pPr>
      <w:r>
        <w:rPr>
          <w:rFonts w:hint="eastAsia" w:ascii="宋体" w:hAnsi="宋体" w:cs="宋体"/>
          <w:kern w:val="0"/>
          <w:sz w:val="24"/>
        </w:rPr>
        <w:t>咨询人（全称）：</w:t>
      </w:r>
    </w:p>
    <w:p>
      <w:pPr>
        <w:widowControl/>
        <w:spacing w:line="560" w:lineRule="exact"/>
        <w:ind w:firstLine="470" w:firstLineChars="196"/>
        <w:rPr>
          <w:rFonts w:ascii="宋体" w:hAnsi="宋体" w:cs="宋体"/>
          <w:kern w:val="0"/>
          <w:sz w:val="24"/>
        </w:rPr>
      </w:pPr>
      <w:r>
        <w:rPr>
          <w:rFonts w:hint="eastAsia" w:ascii="宋体" w:hAnsi="宋体" w:cs="宋体"/>
          <w:kern w:val="0"/>
          <w:sz w:val="24"/>
          <w:u w:val="single"/>
        </w:rPr>
        <w:t>重庆长江黄金游轮有限公司</w:t>
      </w:r>
      <w:r>
        <w:rPr>
          <w:rFonts w:hint="eastAsia" w:ascii="宋体" w:hAnsi="宋体" w:cs="宋体"/>
          <w:kern w:val="0"/>
          <w:sz w:val="24"/>
        </w:rPr>
        <w:t xml:space="preserve">（以下简称委托人）及 </w:t>
      </w:r>
      <w:r>
        <w:rPr>
          <w:rFonts w:hint="eastAsia" w:ascii="宋体" w:hAnsi="宋体" w:cs="宋体"/>
          <w:kern w:val="0"/>
          <w:sz w:val="24"/>
          <w:u w:val="single"/>
        </w:rPr>
        <w:t>重庆交旅建设工程有限公司</w:t>
      </w:r>
      <w:r>
        <w:rPr>
          <w:rFonts w:hint="eastAsia" w:ascii="宋体" w:hAnsi="宋体" w:cs="宋体"/>
          <w:kern w:val="0"/>
          <w:sz w:val="24"/>
        </w:rPr>
        <w:t xml:space="preserve"> （以下简称代建人）与（以下简称咨询人）经过双方协商一致，签订本合同。</w:t>
      </w:r>
    </w:p>
    <w:p>
      <w:pPr>
        <w:widowControl/>
        <w:spacing w:line="560" w:lineRule="exact"/>
        <w:ind w:firstLine="470" w:firstLineChars="196"/>
        <w:rPr>
          <w:rFonts w:ascii="宋体" w:hAnsi="宋体" w:cs="宋体"/>
          <w:kern w:val="0"/>
          <w:sz w:val="24"/>
        </w:rPr>
      </w:pPr>
      <w:r>
        <w:rPr>
          <w:rFonts w:hint="eastAsia" w:ascii="宋体" w:hAnsi="宋体" w:cs="宋体"/>
          <w:kern w:val="0"/>
          <w:sz w:val="24"/>
        </w:rPr>
        <w:t>一、委托人委托咨询人为以下项目提供建设工程造价咨询服务：</w:t>
      </w:r>
    </w:p>
    <w:p>
      <w:pPr>
        <w:widowControl/>
        <w:spacing w:line="560" w:lineRule="exact"/>
        <w:ind w:firstLine="470" w:firstLineChars="196"/>
        <w:rPr>
          <w:rFonts w:ascii="宋体" w:hAnsi="宋体" w:cs="宋体"/>
          <w:kern w:val="0"/>
          <w:sz w:val="24"/>
        </w:rPr>
      </w:pPr>
      <w:r>
        <w:rPr>
          <w:rFonts w:hint="eastAsia" w:ascii="宋体" w:hAnsi="宋体" w:cs="宋体"/>
          <w:kern w:val="0"/>
          <w:sz w:val="24"/>
        </w:rPr>
        <w:t>1、项目名称：重庆长江黄金游轮年底装饰维修工程</w:t>
      </w:r>
    </w:p>
    <w:p>
      <w:pPr>
        <w:widowControl/>
        <w:spacing w:line="560" w:lineRule="exact"/>
        <w:ind w:firstLine="470" w:firstLineChars="196"/>
        <w:rPr>
          <w:rFonts w:ascii="宋体" w:hAnsi="宋体" w:cs="宋体"/>
          <w:kern w:val="0"/>
          <w:sz w:val="24"/>
        </w:rPr>
      </w:pPr>
      <w:r>
        <w:rPr>
          <w:rFonts w:hint="eastAsia" w:ascii="宋体" w:hAnsi="宋体" w:cs="宋体"/>
          <w:kern w:val="0"/>
          <w:sz w:val="24"/>
        </w:rPr>
        <w:t>2、服务类别：建设工程招标清单及招标控制价编制</w:t>
      </w:r>
    </w:p>
    <w:p>
      <w:pPr>
        <w:widowControl/>
        <w:spacing w:line="560" w:lineRule="exact"/>
        <w:ind w:firstLine="470" w:firstLineChars="196"/>
        <w:rPr>
          <w:rFonts w:ascii="宋体" w:hAnsi="宋体" w:cs="宋体"/>
          <w:kern w:val="0"/>
          <w:sz w:val="24"/>
        </w:rPr>
      </w:pPr>
      <w:r>
        <w:rPr>
          <w:rFonts w:hint="eastAsia" w:ascii="宋体" w:hAnsi="宋体" w:cs="宋体"/>
          <w:kern w:val="0"/>
          <w:sz w:val="24"/>
        </w:rPr>
        <w:t>3、服务内容：长江黄金1、2、3、5、6、7、8号游轮装饰维修工程整个项目施工图范围内的建筑、安装、弱电、空调通风、精装修等工程量清单及招标控制价编制。</w:t>
      </w:r>
    </w:p>
    <w:p>
      <w:pPr>
        <w:widowControl/>
        <w:spacing w:line="560" w:lineRule="exact"/>
        <w:jc w:val="left"/>
        <w:rPr>
          <w:rFonts w:ascii="宋体" w:hAnsi="宋体" w:cs="宋体"/>
          <w:kern w:val="0"/>
          <w:sz w:val="24"/>
        </w:rPr>
      </w:pPr>
      <w:r>
        <w:rPr>
          <w:rFonts w:ascii="宋体" w:hAnsi="宋体" w:cs="宋体"/>
          <w:kern w:val="0"/>
          <w:sz w:val="24"/>
        </w:rPr>
        <w:t>　　二、本合同的措词和用语与所属建设工程造价咨询合同条件及有关附件同义。</w:t>
      </w:r>
    </w:p>
    <w:p>
      <w:pPr>
        <w:widowControl/>
        <w:spacing w:line="560" w:lineRule="exact"/>
        <w:jc w:val="left"/>
        <w:rPr>
          <w:rFonts w:ascii="宋体" w:hAnsi="宋体" w:cs="宋体"/>
          <w:kern w:val="0"/>
          <w:sz w:val="24"/>
        </w:rPr>
      </w:pPr>
      <w:r>
        <w:rPr>
          <w:rFonts w:ascii="宋体" w:hAnsi="宋体" w:cs="宋体"/>
          <w:kern w:val="0"/>
          <w:sz w:val="24"/>
        </w:rPr>
        <w:t>　　三、下列文件均为本合同的组成部分：</w:t>
      </w:r>
    </w:p>
    <w:p>
      <w:pPr>
        <w:widowControl/>
        <w:spacing w:line="560" w:lineRule="exact"/>
        <w:jc w:val="left"/>
        <w:rPr>
          <w:rFonts w:ascii="宋体" w:hAnsi="宋体" w:cs="宋体"/>
          <w:kern w:val="0"/>
          <w:sz w:val="24"/>
        </w:rPr>
      </w:pPr>
      <w:r>
        <w:rPr>
          <w:rFonts w:ascii="宋体" w:hAnsi="宋体" w:cs="宋体"/>
          <w:kern w:val="0"/>
          <w:sz w:val="24"/>
        </w:rPr>
        <w:t>　　1．建设工程造价咨询合同标准条件；</w:t>
      </w:r>
    </w:p>
    <w:p>
      <w:pPr>
        <w:widowControl/>
        <w:spacing w:line="560" w:lineRule="exact"/>
        <w:jc w:val="left"/>
        <w:rPr>
          <w:rFonts w:ascii="宋体" w:hAnsi="宋体" w:cs="宋体"/>
          <w:kern w:val="0"/>
          <w:sz w:val="24"/>
        </w:rPr>
      </w:pPr>
      <w:r>
        <w:rPr>
          <w:rFonts w:ascii="宋体" w:hAnsi="宋体" w:cs="宋体"/>
          <w:kern w:val="0"/>
          <w:sz w:val="24"/>
        </w:rPr>
        <w:t>　　2．建设工程造价咨询合同专用条件；</w:t>
      </w:r>
    </w:p>
    <w:p>
      <w:pPr>
        <w:widowControl/>
        <w:spacing w:line="560" w:lineRule="exact"/>
        <w:jc w:val="left"/>
        <w:rPr>
          <w:rFonts w:ascii="宋体" w:hAnsi="宋体" w:cs="宋体"/>
          <w:kern w:val="0"/>
          <w:sz w:val="24"/>
        </w:rPr>
      </w:pPr>
      <w:r>
        <w:rPr>
          <w:rFonts w:ascii="宋体" w:hAnsi="宋体" w:cs="宋体"/>
          <w:kern w:val="0"/>
          <w:sz w:val="24"/>
        </w:rPr>
        <w:t>　　3．建设工程造价咨询合同执行中共同签署的补充与修正文件。</w:t>
      </w:r>
    </w:p>
    <w:p>
      <w:pPr>
        <w:widowControl/>
        <w:spacing w:line="560" w:lineRule="exact"/>
        <w:jc w:val="left"/>
        <w:rPr>
          <w:rFonts w:ascii="宋体" w:hAnsi="宋体" w:cs="宋体"/>
          <w:kern w:val="0"/>
          <w:sz w:val="24"/>
        </w:rPr>
      </w:pPr>
      <w:r>
        <w:rPr>
          <w:rFonts w:ascii="宋体" w:hAnsi="宋体" w:cs="宋体"/>
          <w:kern w:val="0"/>
          <w:sz w:val="24"/>
        </w:rPr>
        <w:t>　　四、咨询人同意按照本合同的规定，承担本合同专用条件中议定范围内的建设工程造价咨询业务。</w:t>
      </w:r>
    </w:p>
    <w:p>
      <w:pPr>
        <w:widowControl/>
        <w:spacing w:before="100" w:beforeAutospacing="1" w:after="100" w:afterAutospacing="1" w:line="360" w:lineRule="auto"/>
        <w:jc w:val="left"/>
        <w:rPr>
          <w:rFonts w:ascii="宋体" w:hAnsi="宋体" w:cs="宋体"/>
          <w:kern w:val="0"/>
          <w:sz w:val="24"/>
        </w:rPr>
      </w:pPr>
      <w:r>
        <w:rPr>
          <w:rFonts w:ascii="宋体" w:hAnsi="宋体" w:cs="宋体"/>
          <w:kern w:val="0"/>
          <w:sz w:val="24"/>
        </w:rPr>
        <w:t>　　五、委托人同意按照本合同规定的期限、方式、币种、额度向咨询人支付酬金。</w:t>
      </w:r>
    </w:p>
    <w:p>
      <w:pPr>
        <w:widowControl/>
        <w:spacing w:line="480" w:lineRule="auto"/>
        <w:ind w:firstLine="480" w:firstLineChars="200"/>
        <w:rPr>
          <w:rFonts w:ascii="宋体" w:hAnsi="宋体" w:cs="宋体"/>
          <w:kern w:val="0"/>
          <w:sz w:val="24"/>
        </w:rPr>
      </w:pPr>
      <w:r>
        <w:rPr>
          <w:rFonts w:hint="eastAsia" w:ascii="宋体" w:hAnsi="宋体" w:cs="宋体"/>
          <w:kern w:val="0"/>
          <w:sz w:val="24"/>
        </w:rPr>
        <w:t>六、本合同的建设工程造价咨询业务自2017年月 日开始实施，至咨询人提供相应报告并经委托人、代建人验收合格后终止。</w:t>
      </w:r>
    </w:p>
    <w:p>
      <w:pPr>
        <w:widowControl/>
        <w:spacing w:line="560" w:lineRule="exact"/>
        <w:ind w:firstLine="480"/>
        <w:jc w:val="left"/>
        <w:rPr>
          <w:rFonts w:ascii="宋体" w:hAnsi="宋体" w:cs="宋体"/>
          <w:kern w:val="0"/>
          <w:sz w:val="24"/>
        </w:rPr>
      </w:pPr>
      <w:r>
        <w:rPr>
          <w:rFonts w:hint="eastAsia" w:ascii="宋体" w:hAnsi="宋体" w:cs="宋体"/>
          <w:kern w:val="0"/>
          <w:sz w:val="24"/>
        </w:rPr>
        <w:t>七、咨询过程中，咨询人自觉接受委托人、代建人的管理与监督。</w:t>
      </w:r>
    </w:p>
    <w:p>
      <w:pPr>
        <w:widowControl/>
        <w:spacing w:line="560" w:lineRule="exact"/>
        <w:ind w:firstLine="470" w:firstLineChars="196"/>
        <w:rPr>
          <w:rFonts w:ascii="宋体" w:hAnsi="宋体" w:cs="宋体"/>
          <w:kern w:val="0"/>
          <w:sz w:val="24"/>
        </w:rPr>
      </w:pPr>
      <w:r>
        <w:rPr>
          <w:rFonts w:hint="eastAsia" w:ascii="宋体" w:hAnsi="宋体" w:cs="宋体"/>
          <w:kern w:val="0"/>
          <w:sz w:val="24"/>
        </w:rPr>
        <w:t>八</w:t>
      </w:r>
      <w:r>
        <w:rPr>
          <w:rFonts w:ascii="宋体" w:hAnsi="宋体" w:cs="宋体"/>
          <w:kern w:val="0"/>
          <w:sz w:val="24"/>
        </w:rPr>
        <w:t>、</w:t>
      </w:r>
      <w:r>
        <w:rPr>
          <w:rFonts w:hint="eastAsia" w:ascii="宋体" w:hAnsi="宋体" w:cs="宋体"/>
          <w:kern w:val="0"/>
          <w:sz w:val="24"/>
        </w:rPr>
        <w:t>本合同一式 10份，其中正本3份，三方各执1份；副本7份，委托人执2份，代建人执3份，咨询人执2 份，正副本不一致的以正本为准。</w:t>
      </w:r>
    </w:p>
    <w:p>
      <w:pPr>
        <w:widowControl/>
        <w:spacing w:line="480" w:lineRule="auto"/>
        <w:rPr>
          <w:rFonts w:ascii="宋体" w:hAnsi="宋体" w:cs="宋体"/>
          <w:kern w:val="0"/>
          <w:sz w:val="24"/>
        </w:rPr>
      </w:pPr>
    </w:p>
    <w:tbl>
      <w:tblPr>
        <w:tblStyle w:val="5"/>
        <w:tblW w:w="8925" w:type="dxa"/>
        <w:jc w:val="center"/>
        <w:tblInd w:w="-207" w:type="dxa"/>
        <w:tblLayout w:type="fixed"/>
        <w:tblCellMar>
          <w:top w:w="0" w:type="dxa"/>
          <w:left w:w="108" w:type="dxa"/>
          <w:bottom w:w="0" w:type="dxa"/>
          <w:right w:w="108" w:type="dxa"/>
        </w:tblCellMar>
      </w:tblPr>
      <w:tblGrid>
        <w:gridCol w:w="4454"/>
        <w:gridCol w:w="17"/>
        <w:gridCol w:w="4454"/>
      </w:tblGrid>
      <w:tr>
        <w:tblPrEx>
          <w:tblLayout w:type="fixed"/>
          <w:tblCellMar>
            <w:top w:w="0" w:type="dxa"/>
            <w:left w:w="108" w:type="dxa"/>
            <w:bottom w:w="0" w:type="dxa"/>
            <w:right w:w="108" w:type="dxa"/>
          </w:tblCellMar>
        </w:tblPrEx>
        <w:trPr>
          <w:trHeight w:val="919" w:hRule="atLeast"/>
          <w:jc w:val="center"/>
        </w:trPr>
        <w:tc>
          <w:tcPr>
            <w:tcW w:w="4471" w:type="dxa"/>
            <w:gridSpan w:val="2"/>
          </w:tcPr>
          <w:p>
            <w:pPr>
              <w:pStyle w:val="3"/>
              <w:adjustRightInd w:val="0"/>
              <w:snapToGrid w:val="0"/>
              <w:spacing w:line="360" w:lineRule="auto"/>
              <w:rPr>
                <w:rFonts w:ascii="宋体" w:hAnsi="宋体"/>
                <w:sz w:val="22"/>
                <w:szCs w:val="22"/>
              </w:rPr>
            </w:pPr>
            <w:r>
              <w:rPr>
                <w:rFonts w:hint="eastAsia" w:ascii="宋体" w:hAnsi="宋体"/>
                <w:sz w:val="22"/>
                <w:szCs w:val="22"/>
              </w:rPr>
              <w:t>委托人（公章）：</w:t>
            </w:r>
            <w:r>
              <w:rPr>
                <w:rFonts w:hint="eastAsia" w:ascii="宋体" w:hAnsi="宋体"/>
                <w:sz w:val="22"/>
                <w:szCs w:val="22"/>
                <w:u w:val="single"/>
              </w:rPr>
              <w:t>重庆长江黄金游轮有限公司</w:t>
            </w:r>
          </w:p>
        </w:tc>
        <w:tc>
          <w:tcPr>
            <w:tcW w:w="4454" w:type="dxa"/>
          </w:tcPr>
          <w:p>
            <w:pPr>
              <w:adjustRightInd w:val="0"/>
              <w:snapToGrid w:val="0"/>
              <w:spacing w:line="360" w:lineRule="auto"/>
              <w:rPr>
                <w:rFonts w:ascii="宋体" w:hAnsi="宋体"/>
                <w:sz w:val="22"/>
                <w:szCs w:val="22"/>
                <w:u w:val="single"/>
              </w:rPr>
            </w:pPr>
            <w:r>
              <w:rPr>
                <w:rFonts w:hint="eastAsia" w:ascii="宋体" w:hAnsi="宋体"/>
                <w:sz w:val="22"/>
                <w:szCs w:val="22"/>
              </w:rPr>
              <w:t>代建人（公章）：</w:t>
            </w:r>
            <w:r>
              <w:rPr>
                <w:rFonts w:hint="eastAsia" w:ascii="宋体" w:hAnsi="宋体"/>
                <w:sz w:val="22"/>
                <w:szCs w:val="22"/>
                <w:u w:val="single"/>
              </w:rPr>
              <w:t>重庆交旅建设工程有限公司</w:t>
            </w:r>
          </w:p>
          <w:p>
            <w:pPr>
              <w:pStyle w:val="3"/>
              <w:adjustRightInd w:val="0"/>
              <w:snapToGrid w:val="0"/>
              <w:spacing w:line="360" w:lineRule="auto"/>
              <w:rPr>
                <w:rFonts w:ascii="宋体" w:hAnsi="宋体"/>
                <w:sz w:val="22"/>
                <w:szCs w:val="22"/>
              </w:rPr>
            </w:pPr>
          </w:p>
        </w:tc>
      </w:tr>
      <w:tr>
        <w:tblPrEx>
          <w:tblLayout w:type="fixed"/>
          <w:tblCellMar>
            <w:top w:w="0" w:type="dxa"/>
            <w:left w:w="108" w:type="dxa"/>
            <w:bottom w:w="0" w:type="dxa"/>
            <w:right w:w="108" w:type="dxa"/>
          </w:tblCellMar>
        </w:tblPrEx>
        <w:trPr>
          <w:trHeight w:val="2354" w:hRule="atLeast"/>
          <w:jc w:val="center"/>
        </w:trPr>
        <w:tc>
          <w:tcPr>
            <w:tcW w:w="4471" w:type="dxa"/>
            <w:gridSpan w:val="2"/>
          </w:tcPr>
          <w:p>
            <w:pPr>
              <w:pStyle w:val="3"/>
              <w:adjustRightInd w:val="0"/>
              <w:snapToGrid w:val="0"/>
              <w:spacing w:line="480" w:lineRule="auto"/>
              <w:rPr>
                <w:rFonts w:ascii="宋体" w:hAnsi="宋体"/>
                <w:sz w:val="22"/>
                <w:szCs w:val="22"/>
              </w:rPr>
            </w:pPr>
            <w:r>
              <w:rPr>
                <w:rFonts w:hint="eastAsia" w:ascii="宋体" w:hAnsi="宋体"/>
                <w:sz w:val="22"/>
                <w:szCs w:val="22"/>
              </w:rPr>
              <w:t>法定代表人</w:t>
            </w:r>
          </w:p>
          <w:p>
            <w:pPr>
              <w:pStyle w:val="3"/>
              <w:adjustRightInd w:val="0"/>
              <w:snapToGrid w:val="0"/>
              <w:spacing w:line="480" w:lineRule="auto"/>
              <w:rPr>
                <w:rFonts w:ascii="宋体" w:hAnsi="宋体"/>
                <w:sz w:val="22"/>
                <w:szCs w:val="22"/>
              </w:rPr>
            </w:pPr>
            <w:r>
              <w:rPr>
                <w:rFonts w:hint="eastAsia" w:ascii="宋体" w:hAnsi="宋体"/>
                <w:sz w:val="22"/>
                <w:szCs w:val="22"/>
              </w:rPr>
              <w:t>或授权代理人（签字）</w:t>
            </w:r>
          </w:p>
          <w:p>
            <w:pPr>
              <w:pStyle w:val="3"/>
              <w:adjustRightInd w:val="0"/>
              <w:snapToGrid w:val="0"/>
              <w:spacing w:line="360" w:lineRule="auto"/>
              <w:rPr>
                <w:rFonts w:ascii="宋体" w:hAnsi="宋体"/>
                <w:sz w:val="22"/>
                <w:szCs w:val="22"/>
              </w:rPr>
            </w:pPr>
            <w:r>
              <w:rPr>
                <w:rFonts w:hint="eastAsia" w:ascii="宋体" w:hAnsi="宋体"/>
                <w:sz w:val="22"/>
                <w:szCs w:val="22"/>
              </w:rPr>
              <w:t>经办人：（签字）</w:t>
            </w:r>
          </w:p>
        </w:tc>
        <w:tc>
          <w:tcPr>
            <w:tcW w:w="4454" w:type="dxa"/>
          </w:tcPr>
          <w:p>
            <w:pPr>
              <w:pStyle w:val="3"/>
              <w:adjustRightInd w:val="0"/>
              <w:snapToGrid w:val="0"/>
              <w:spacing w:line="480" w:lineRule="auto"/>
              <w:rPr>
                <w:rFonts w:ascii="宋体" w:hAnsi="宋体"/>
                <w:sz w:val="22"/>
                <w:szCs w:val="22"/>
              </w:rPr>
            </w:pPr>
            <w:r>
              <w:rPr>
                <w:rFonts w:hint="eastAsia" w:ascii="宋体" w:hAnsi="宋体"/>
                <w:sz w:val="22"/>
                <w:szCs w:val="22"/>
              </w:rPr>
              <w:t>法定代表人</w:t>
            </w:r>
          </w:p>
          <w:p>
            <w:pPr>
              <w:pStyle w:val="3"/>
              <w:adjustRightInd w:val="0"/>
              <w:snapToGrid w:val="0"/>
              <w:spacing w:line="480" w:lineRule="auto"/>
              <w:rPr>
                <w:rFonts w:ascii="宋体" w:hAnsi="宋体"/>
                <w:sz w:val="22"/>
                <w:szCs w:val="22"/>
              </w:rPr>
            </w:pPr>
            <w:r>
              <w:rPr>
                <w:rFonts w:hint="eastAsia" w:ascii="宋体" w:hAnsi="宋体"/>
                <w:sz w:val="22"/>
                <w:szCs w:val="22"/>
              </w:rPr>
              <w:t>或授权代理人： （签字）</w:t>
            </w:r>
          </w:p>
          <w:p>
            <w:pPr>
              <w:pStyle w:val="3"/>
              <w:adjustRightInd w:val="0"/>
              <w:snapToGrid w:val="0"/>
              <w:spacing w:line="360" w:lineRule="auto"/>
              <w:rPr>
                <w:rFonts w:ascii="宋体" w:hAnsi="宋体"/>
                <w:sz w:val="22"/>
                <w:szCs w:val="22"/>
              </w:rPr>
            </w:pPr>
            <w:r>
              <w:rPr>
                <w:rFonts w:hint="eastAsia" w:ascii="宋体" w:hAnsi="宋体"/>
                <w:sz w:val="22"/>
                <w:szCs w:val="22"/>
              </w:rPr>
              <w:t>经办人：（签字）</w:t>
            </w:r>
          </w:p>
        </w:tc>
      </w:tr>
      <w:tr>
        <w:tblPrEx>
          <w:tblLayout w:type="fixed"/>
          <w:tblCellMar>
            <w:top w:w="0" w:type="dxa"/>
            <w:left w:w="108" w:type="dxa"/>
            <w:bottom w:w="0" w:type="dxa"/>
            <w:right w:w="108" w:type="dxa"/>
          </w:tblCellMar>
        </w:tblPrEx>
        <w:trPr>
          <w:trHeight w:val="989" w:hRule="exact"/>
          <w:jc w:val="center"/>
        </w:trPr>
        <w:tc>
          <w:tcPr>
            <w:tcW w:w="4471" w:type="dxa"/>
            <w:gridSpan w:val="2"/>
            <w:vAlign w:val="center"/>
          </w:tcPr>
          <w:p>
            <w:pPr>
              <w:pStyle w:val="3"/>
              <w:adjustRightInd w:val="0"/>
              <w:snapToGrid w:val="0"/>
              <w:spacing w:line="360" w:lineRule="auto"/>
              <w:rPr>
                <w:rFonts w:ascii="宋体" w:hAnsi="宋体"/>
                <w:sz w:val="22"/>
                <w:szCs w:val="22"/>
              </w:rPr>
            </w:pPr>
            <w:r>
              <w:rPr>
                <w:rFonts w:hint="eastAsia" w:ascii="宋体" w:hAnsi="宋体"/>
                <w:sz w:val="22"/>
                <w:szCs w:val="22"/>
              </w:rPr>
              <w:t>地址：</w:t>
            </w:r>
          </w:p>
        </w:tc>
        <w:tc>
          <w:tcPr>
            <w:tcW w:w="4454" w:type="dxa"/>
            <w:vAlign w:val="center"/>
          </w:tcPr>
          <w:p>
            <w:pPr>
              <w:pStyle w:val="3"/>
              <w:adjustRightInd w:val="0"/>
              <w:snapToGrid w:val="0"/>
              <w:spacing w:line="360" w:lineRule="auto"/>
              <w:rPr>
                <w:rFonts w:ascii="宋体" w:hAnsi="宋体"/>
                <w:sz w:val="22"/>
                <w:szCs w:val="22"/>
              </w:rPr>
            </w:pPr>
            <w:r>
              <w:rPr>
                <w:rFonts w:hint="eastAsia" w:ascii="宋体" w:hAnsi="宋体"/>
                <w:sz w:val="22"/>
                <w:szCs w:val="22"/>
              </w:rPr>
              <w:t>地址：</w:t>
            </w:r>
          </w:p>
        </w:tc>
      </w:tr>
      <w:tr>
        <w:tblPrEx>
          <w:tblLayout w:type="fixed"/>
          <w:tblCellMar>
            <w:top w:w="0" w:type="dxa"/>
            <w:left w:w="108" w:type="dxa"/>
            <w:bottom w:w="0" w:type="dxa"/>
            <w:right w:w="108" w:type="dxa"/>
          </w:tblCellMar>
        </w:tblPrEx>
        <w:trPr>
          <w:trHeight w:val="563" w:hRule="exact"/>
          <w:jc w:val="center"/>
        </w:trPr>
        <w:tc>
          <w:tcPr>
            <w:tcW w:w="4471" w:type="dxa"/>
            <w:gridSpan w:val="2"/>
          </w:tcPr>
          <w:p>
            <w:pPr>
              <w:pStyle w:val="3"/>
              <w:adjustRightInd w:val="0"/>
              <w:snapToGrid w:val="0"/>
              <w:spacing w:line="360" w:lineRule="auto"/>
              <w:rPr>
                <w:rFonts w:ascii="宋体" w:hAnsi="宋体"/>
                <w:sz w:val="22"/>
                <w:szCs w:val="22"/>
              </w:rPr>
            </w:pPr>
            <w:r>
              <w:rPr>
                <w:rFonts w:hint="eastAsia" w:ascii="宋体" w:hAnsi="宋体"/>
                <w:sz w:val="22"/>
                <w:szCs w:val="22"/>
              </w:rPr>
              <w:t>电话：</w:t>
            </w:r>
          </w:p>
        </w:tc>
        <w:tc>
          <w:tcPr>
            <w:tcW w:w="4454" w:type="dxa"/>
          </w:tcPr>
          <w:p>
            <w:pPr>
              <w:pStyle w:val="3"/>
              <w:adjustRightInd w:val="0"/>
              <w:snapToGrid w:val="0"/>
              <w:spacing w:line="360" w:lineRule="auto"/>
              <w:rPr>
                <w:rFonts w:ascii="宋体" w:hAnsi="宋体"/>
                <w:sz w:val="22"/>
                <w:szCs w:val="22"/>
              </w:rPr>
            </w:pPr>
            <w:r>
              <w:rPr>
                <w:rFonts w:hint="eastAsia" w:ascii="宋体" w:hAnsi="宋体"/>
                <w:sz w:val="22"/>
                <w:szCs w:val="22"/>
              </w:rPr>
              <w:t>电话：</w:t>
            </w:r>
          </w:p>
        </w:tc>
      </w:tr>
      <w:tr>
        <w:tblPrEx>
          <w:tblLayout w:type="fixed"/>
          <w:tblCellMar>
            <w:top w:w="0" w:type="dxa"/>
            <w:left w:w="108" w:type="dxa"/>
            <w:bottom w:w="0" w:type="dxa"/>
            <w:right w:w="108" w:type="dxa"/>
          </w:tblCellMar>
        </w:tblPrEx>
        <w:trPr>
          <w:trHeight w:val="1099" w:hRule="exact"/>
          <w:jc w:val="center"/>
        </w:trPr>
        <w:tc>
          <w:tcPr>
            <w:tcW w:w="4471" w:type="dxa"/>
            <w:gridSpan w:val="2"/>
            <w:vAlign w:val="center"/>
          </w:tcPr>
          <w:p>
            <w:pPr>
              <w:adjustRightInd w:val="0"/>
              <w:snapToGrid w:val="0"/>
              <w:spacing w:line="360" w:lineRule="auto"/>
              <w:rPr>
                <w:rFonts w:ascii="宋体" w:hAnsi="宋体"/>
                <w:sz w:val="22"/>
                <w:szCs w:val="22"/>
              </w:rPr>
            </w:pPr>
            <w:r>
              <w:rPr>
                <w:rFonts w:hint="eastAsia" w:ascii="宋体" w:hAnsi="宋体"/>
                <w:sz w:val="22"/>
                <w:szCs w:val="22"/>
              </w:rPr>
              <w:t xml:space="preserve">咨询人（公章）： </w:t>
            </w:r>
          </w:p>
        </w:tc>
        <w:tc>
          <w:tcPr>
            <w:tcW w:w="4454" w:type="dxa"/>
          </w:tcPr>
          <w:p>
            <w:pPr>
              <w:pStyle w:val="3"/>
              <w:adjustRightInd w:val="0"/>
              <w:snapToGrid w:val="0"/>
              <w:spacing w:line="360" w:lineRule="auto"/>
              <w:rPr>
                <w:rFonts w:ascii="宋体" w:hAnsi="宋体"/>
                <w:sz w:val="22"/>
                <w:szCs w:val="22"/>
              </w:rPr>
            </w:pPr>
          </w:p>
        </w:tc>
      </w:tr>
      <w:tr>
        <w:tblPrEx>
          <w:tblLayout w:type="fixed"/>
          <w:tblCellMar>
            <w:top w:w="0" w:type="dxa"/>
            <w:left w:w="108" w:type="dxa"/>
            <w:bottom w:w="0" w:type="dxa"/>
            <w:right w:w="108" w:type="dxa"/>
          </w:tblCellMar>
        </w:tblPrEx>
        <w:trPr>
          <w:gridAfter w:val="2"/>
          <w:wAfter w:w="4471" w:type="dxa"/>
          <w:trHeight w:val="1798" w:hRule="atLeast"/>
          <w:jc w:val="center"/>
        </w:trPr>
        <w:tc>
          <w:tcPr>
            <w:tcW w:w="4454" w:type="dxa"/>
          </w:tcPr>
          <w:p>
            <w:pPr>
              <w:pStyle w:val="3"/>
              <w:adjustRightInd w:val="0"/>
              <w:snapToGrid w:val="0"/>
              <w:spacing w:line="480" w:lineRule="auto"/>
              <w:rPr>
                <w:rFonts w:ascii="宋体" w:hAnsi="宋体"/>
                <w:sz w:val="22"/>
                <w:szCs w:val="22"/>
              </w:rPr>
            </w:pPr>
            <w:r>
              <w:rPr>
                <w:rFonts w:hint="eastAsia" w:ascii="宋体" w:hAnsi="宋体"/>
                <w:sz w:val="22"/>
                <w:szCs w:val="22"/>
              </w:rPr>
              <w:t>法定代表人</w:t>
            </w:r>
          </w:p>
          <w:p>
            <w:pPr>
              <w:pStyle w:val="3"/>
              <w:adjustRightInd w:val="0"/>
              <w:snapToGrid w:val="0"/>
              <w:spacing w:line="480" w:lineRule="auto"/>
              <w:rPr>
                <w:rFonts w:ascii="宋体" w:hAnsi="宋体"/>
                <w:sz w:val="22"/>
                <w:szCs w:val="22"/>
              </w:rPr>
            </w:pPr>
            <w:r>
              <w:rPr>
                <w:rFonts w:hint="eastAsia" w:ascii="宋体" w:hAnsi="宋体"/>
                <w:sz w:val="22"/>
                <w:szCs w:val="22"/>
              </w:rPr>
              <w:t>或授权代理人： （签字）</w:t>
            </w:r>
          </w:p>
          <w:p>
            <w:pPr>
              <w:pStyle w:val="3"/>
              <w:adjustRightInd w:val="0"/>
              <w:snapToGrid w:val="0"/>
              <w:spacing w:line="360" w:lineRule="auto"/>
              <w:rPr>
                <w:rFonts w:ascii="宋体" w:hAnsi="宋体"/>
                <w:sz w:val="22"/>
                <w:szCs w:val="22"/>
              </w:rPr>
            </w:pPr>
            <w:r>
              <w:rPr>
                <w:rFonts w:hint="eastAsia" w:ascii="宋体" w:hAnsi="宋体"/>
                <w:sz w:val="22"/>
                <w:szCs w:val="22"/>
              </w:rPr>
              <w:t>经办人：（签字）</w:t>
            </w:r>
          </w:p>
        </w:tc>
      </w:tr>
      <w:tr>
        <w:tblPrEx>
          <w:tblLayout w:type="fixed"/>
          <w:tblCellMar>
            <w:top w:w="0" w:type="dxa"/>
            <w:left w:w="108" w:type="dxa"/>
            <w:bottom w:w="0" w:type="dxa"/>
            <w:right w:w="108" w:type="dxa"/>
          </w:tblCellMar>
        </w:tblPrEx>
        <w:trPr>
          <w:gridAfter w:val="2"/>
          <w:wAfter w:w="4471" w:type="dxa"/>
          <w:trHeight w:val="794" w:hRule="exact"/>
          <w:jc w:val="center"/>
        </w:trPr>
        <w:tc>
          <w:tcPr>
            <w:tcW w:w="4454" w:type="dxa"/>
            <w:vAlign w:val="center"/>
          </w:tcPr>
          <w:p>
            <w:pPr>
              <w:pStyle w:val="3"/>
              <w:adjustRightInd w:val="0"/>
              <w:snapToGrid w:val="0"/>
              <w:spacing w:line="360" w:lineRule="auto"/>
              <w:rPr>
                <w:rFonts w:ascii="宋体" w:hAnsi="宋体"/>
                <w:sz w:val="22"/>
                <w:szCs w:val="22"/>
              </w:rPr>
            </w:pPr>
            <w:r>
              <w:rPr>
                <w:rFonts w:hint="eastAsia" w:ascii="宋体" w:hAnsi="宋体"/>
                <w:sz w:val="22"/>
                <w:szCs w:val="22"/>
              </w:rPr>
              <w:t>地址：</w:t>
            </w:r>
          </w:p>
        </w:tc>
      </w:tr>
      <w:tr>
        <w:tblPrEx>
          <w:tblLayout w:type="fixed"/>
          <w:tblCellMar>
            <w:top w:w="0" w:type="dxa"/>
            <w:left w:w="108" w:type="dxa"/>
            <w:bottom w:w="0" w:type="dxa"/>
            <w:right w:w="108" w:type="dxa"/>
          </w:tblCellMar>
        </w:tblPrEx>
        <w:trPr>
          <w:gridAfter w:val="2"/>
          <w:wAfter w:w="4471" w:type="dxa"/>
          <w:trHeight w:val="794" w:hRule="exact"/>
          <w:jc w:val="center"/>
        </w:trPr>
        <w:tc>
          <w:tcPr>
            <w:tcW w:w="4454" w:type="dxa"/>
          </w:tcPr>
          <w:p>
            <w:pPr>
              <w:pStyle w:val="3"/>
              <w:adjustRightInd w:val="0"/>
              <w:snapToGrid w:val="0"/>
              <w:spacing w:line="360" w:lineRule="auto"/>
              <w:rPr>
                <w:rFonts w:ascii="宋体" w:hAnsi="宋体"/>
                <w:sz w:val="22"/>
                <w:szCs w:val="22"/>
              </w:rPr>
            </w:pPr>
            <w:r>
              <w:rPr>
                <w:rFonts w:hint="eastAsia" w:ascii="宋体" w:hAnsi="宋体"/>
                <w:sz w:val="22"/>
                <w:szCs w:val="22"/>
              </w:rPr>
              <w:t xml:space="preserve">开户银行：       </w:t>
            </w:r>
          </w:p>
          <w:p>
            <w:pPr>
              <w:pStyle w:val="3"/>
              <w:adjustRightInd w:val="0"/>
              <w:snapToGrid w:val="0"/>
              <w:spacing w:line="360" w:lineRule="auto"/>
              <w:rPr>
                <w:rFonts w:ascii="宋体" w:hAnsi="宋体"/>
                <w:sz w:val="22"/>
                <w:szCs w:val="22"/>
              </w:rPr>
            </w:pPr>
          </w:p>
        </w:tc>
      </w:tr>
      <w:tr>
        <w:tblPrEx>
          <w:tblLayout w:type="fixed"/>
          <w:tblCellMar>
            <w:top w:w="0" w:type="dxa"/>
            <w:left w:w="108" w:type="dxa"/>
            <w:bottom w:w="0" w:type="dxa"/>
            <w:right w:w="108" w:type="dxa"/>
          </w:tblCellMar>
        </w:tblPrEx>
        <w:trPr>
          <w:gridAfter w:val="2"/>
          <w:wAfter w:w="4471" w:type="dxa"/>
          <w:trHeight w:val="794" w:hRule="exact"/>
          <w:jc w:val="center"/>
        </w:trPr>
        <w:tc>
          <w:tcPr>
            <w:tcW w:w="4454" w:type="dxa"/>
          </w:tcPr>
          <w:p>
            <w:pPr>
              <w:pStyle w:val="3"/>
              <w:adjustRightInd w:val="0"/>
              <w:snapToGrid w:val="0"/>
              <w:spacing w:line="360" w:lineRule="auto"/>
              <w:rPr>
                <w:rFonts w:ascii="宋体" w:hAnsi="宋体"/>
                <w:sz w:val="22"/>
                <w:szCs w:val="22"/>
              </w:rPr>
            </w:pPr>
            <w:r>
              <w:rPr>
                <w:rFonts w:hint="eastAsia" w:ascii="宋体" w:hAnsi="宋体"/>
                <w:sz w:val="22"/>
                <w:szCs w:val="22"/>
              </w:rPr>
              <w:t>帐 号：</w:t>
            </w:r>
          </w:p>
        </w:tc>
      </w:tr>
      <w:tr>
        <w:tblPrEx>
          <w:tblLayout w:type="fixed"/>
          <w:tblCellMar>
            <w:top w:w="0" w:type="dxa"/>
            <w:left w:w="108" w:type="dxa"/>
            <w:bottom w:w="0" w:type="dxa"/>
            <w:right w:w="108" w:type="dxa"/>
          </w:tblCellMar>
        </w:tblPrEx>
        <w:trPr>
          <w:gridAfter w:val="2"/>
          <w:wAfter w:w="4471" w:type="dxa"/>
          <w:trHeight w:val="434" w:hRule="exact"/>
          <w:jc w:val="center"/>
        </w:trPr>
        <w:tc>
          <w:tcPr>
            <w:tcW w:w="4454" w:type="dxa"/>
          </w:tcPr>
          <w:p>
            <w:pPr>
              <w:pStyle w:val="3"/>
              <w:adjustRightInd w:val="0"/>
              <w:snapToGrid w:val="0"/>
              <w:spacing w:line="360" w:lineRule="auto"/>
              <w:rPr>
                <w:rFonts w:hint="eastAsia" w:ascii="宋体" w:hAnsi="宋体"/>
                <w:sz w:val="22"/>
                <w:szCs w:val="22"/>
              </w:rPr>
            </w:pPr>
            <w:r>
              <w:rPr>
                <w:rFonts w:hint="eastAsia" w:ascii="宋体" w:hAnsi="宋体"/>
                <w:sz w:val="22"/>
                <w:szCs w:val="22"/>
              </w:rPr>
              <w:t>电话：</w:t>
            </w:r>
          </w:p>
          <w:p>
            <w:pPr>
              <w:pStyle w:val="3"/>
              <w:adjustRightInd w:val="0"/>
              <w:snapToGrid w:val="0"/>
              <w:spacing w:line="360" w:lineRule="auto"/>
              <w:rPr>
                <w:rFonts w:hint="eastAsia" w:ascii="宋体" w:hAnsi="宋体"/>
                <w:sz w:val="22"/>
                <w:szCs w:val="22"/>
              </w:rPr>
            </w:pPr>
          </w:p>
          <w:p>
            <w:pPr>
              <w:pStyle w:val="3"/>
              <w:adjustRightInd w:val="0"/>
              <w:snapToGrid w:val="0"/>
              <w:spacing w:line="360" w:lineRule="auto"/>
              <w:rPr>
                <w:rFonts w:hint="eastAsia" w:ascii="宋体" w:hAnsi="宋体"/>
                <w:sz w:val="22"/>
                <w:szCs w:val="22"/>
              </w:rPr>
            </w:pPr>
          </w:p>
          <w:p>
            <w:pPr>
              <w:pStyle w:val="3"/>
              <w:adjustRightInd w:val="0"/>
              <w:snapToGrid w:val="0"/>
              <w:spacing w:line="360" w:lineRule="auto"/>
              <w:rPr>
                <w:rFonts w:hint="eastAsia" w:ascii="宋体" w:hAnsi="宋体"/>
                <w:sz w:val="22"/>
                <w:szCs w:val="22"/>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r>
        <w:rPr>
          <w:rFonts w:ascii="宋体" w:hAnsi="宋体"/>
          <w:b/>
          <w:sz w:val="24"/>
        </w:rPr>
        <w:t>第二部分　建设工程造价咨询合同标准条件</w:t>
      </w:r>
    </w:p>
    <w:p>
      <w:pPr>
        <w:spacing w:line="360" w:lineRule="auto"/>
        <w:jc w:val="center"/>
        <w:rPr>
          <w:rFonts w:ascii="宋体" w:hAnsi="宋体"/>
          <w:b/>
          <w:sz w:val="24"/>
        </w:rPr>
      </w:pPr>
      <w:r>
        <w:rPr>
          <w:rFonts w:ascii="宋体" w:hAnsi="宋体"/>
          <w:b/>
          <w:sz w:val="24"/>
        </w:rPr>
        <w:t>词语定义、适用语言和法律、法规</w:t>
      </w:r>
    </w:p>
    <w:p>
      <w:pPr>
        <w:spacing w:line="360" w:lineRule="auto"/>
        <w:rPr>
          <w:rFonts w:ascii="宋体" w:hAnsi="宋体"/>
          <w:sz w:val="24"/>
        </w:rPr>
      </w:pPr>
      <w:r>
        <w:rPr>
          <w:rFonts w:ascii="宋体" w:hAnsi="宋体"/>
          <w:sz w:val="24"/>
        </w:rPr>
        <w:t>　　</w:t>
      </w:r>
      <w:r>
        <w:rPr>
          <w:rFonts w:ascii="宋体" w:hAnsi="宋体"/>
          <w:b/>
          <w:sz w:val="24"/>
        </w:rPr>
        <w:t>第一条</w:t>
      </w:r>
      <w:r>
        <w:rPr>
          <w:rFonts w:ascii="宋体" w:hAnsi="宋体"/>
          <w:sz w:val="24"/>
        </w:rPr>
        <w:t>　下列名词和用语，除上下文另有规定外具有如下含义。</w:t>
      </w:r>
    </w:p>
    <w:p>
      <w:pPr>
        <w:spacing w:line="360" w:lineRule="auto"/>
        <w:rPr>
          <w:rFonts w:ascii="宋体" w:hAnsi="宋体"/>
          <w:sz w:val="24"/>
        </w:rPr>
      </w:pPr>
      <w:r>
        <w:rPr>
          <w:rFonts w:ascii="宋体" w:hAnsi="宋体"/>
          <w:sz w:val="24"/>
        </w:rPr>
        <w:t>　　1、“委托人”是指委托建设工程造价咨询业务和聘用工程造价咨询单位的一方，以及其合法继承人。</w:t>
      </w:r>
    </w:p>
    <w:p>
      <w:pPr>
        <w:spacing w:line="360" w:lineRule="auto"/>
        <w:rPr>
          <w:rFonts w:ascii="宋体" w:hAnsi="宋体"/>
          <w:sz w:val="24"/>
        </w:rPr>
      </w:pPr>
      <w:r>
        <w:rPr>
          <w:rFonts w:ascii="宋体" w:hAnsi="宋体"/>
          <w:sz w:val="24"/>
        </w:rPr>
        <w:t>　　2、“咨询人”是指承担建设工程造价咨询业务和工程造价咨询责任的一方，以及其合法继承人。</w:t>
      </w:r>
    </w:p>
    <w:p>
      <w:pPr>
        <w:spacing w:line="360" w:lineRule="auto"/>
        <w:ind w:firstLine="480" w:firstLineChars="200"/>
        <w:rPr>
          <w:rFonts w:ascii="宋体" w:hAnsi="宋体"/>
          <w:sz w:val="24"/>
        </w:rPr>
      </w:pPr>
      <w:r>
        <w:rPr>
          <w:rFonts w:ascii="宋体" w:hAnsi="宋体"/>
          <w:sz w:val="24"/>
        </w:rPr>
        <w:t>3、“第三人”是指除委托人、咨询人以外与本咨询业务有关的当事人。</w:t>
      </w:r>
    </w:p>
    <w:p>
      <w:pPr>
        <w:spacing w:line="360" w:lineRule="auto"/>
        <w:rPr>
          <w:rFonts w:ascii="宋体" w:hAnsi="宋体"/>
          <w:sz w:val="24"/>
        </w:rPr>
      </w:pPr>
      <w:r>
        <w:rPr>
          <w:rFonts w:ascii="宋体" w:hAnsi="宋体"/>
          <w:sz w:val="24"/>
        </w:rPr>
        <w:t>　　4、“日”是指任何一天零时至第二天零时的时间段。</w:t>
      </w:r>
    </w:p>
    <w:p>
      <w:pPr>
        <w:spacing w:line="360" w:lineRule="auto"/>
        <w:rPr>
          <w:rFonts w:ascii="宋体" w:hAnsi="宋体"/>
          <w:sz w:val="24"/>
        </w:rPr>
      </w:pPr>
      <w:r>
        <w:rPr>
          <w:rFonts w:ascii="宋体" w:hAnsi="宋体"/>
          <w:sz w:val="24"/>
        </w:rPr>
        <w:t>　　</w:t>
      </w:r>
      <w:r>
        <w:rPr>
          <w:rFonts w:ascii="宋体" w:hAnsi="宋体"/>
          <w:b/>
          <w:sz w:val="24"/>
        </w:rPr>
        <w:t>第二条</w:t>
      </w:r>
      <w:r>
        <w:rPr>
          <w:rFonts w:ascii="宋体" w:hAnsi="宋体"/>
          <w:sz w:val="24"/>
        </w:rPr>
        <w:t>　建设工程造价咨询合同适用的是中国的法律、法规，以及专用条件中议定的部门规章、工程造价有关计价办法和规定或项目所在地的地方法规、地方规章。</w:t>
      </w:r>
    </w:p>
    <w:p>
      <w:pPr>
        <w:spacing w:line="360" w:lineRule="auto"/>
        <w:rPr>
          <w:rFonts w:ascii="宋体" w:hAnsi="宋体"/>
          <w:sz w:val="24"/>
        </w:rPr>
      </w:pPr>
      <w:r>
        <w:rPr>
          <w:rFonts w:ascii="宋体" w:hAnsi="宋体"/>
          <w:sz w:val="24"/>
        </w:rPr>
        <w:t>　　</w:t>
      </w:r>
      <w:r>
        <w:rPr>
          <w:rFonts w:ascii="宋体" w:hAnsi="宋体"/>
          <w:b/>
          <w:sz w:val="24"/>
        </w:rPr>
        <w:t>第三条</w:t>
      </w:r>
      <w:r>
        <w:rPr>
          <w:rFonts w:ascii="宋体" w:hAnsi="宋体"/>
          <w:sz w:val="24"/>
        </w:rPr>
        <w:t>　建设工程造价咨询合同的书写、解释和说明，以汉语为主导语言。当不同语言文本发生不同解释时，以汉语合同文本为准。</w:t>
      </w:r>
    </w:p>
    <w:p>
      <w:pPr>
        <w:spacing w:line="360" w:lineRule="auto"/>
        <w:jc w:val="center"/>
        <w:rPr>
          <w:rFonts w:ascii="宋体" w:hAnsi="宋体"/>
          <w:b/>
          <w:sz w:val="24"/>
        </w:rPr>
      </w:pPr>
      <w:r>
        <w:rPr>
          <w:rFonts w:ascii="宋体" w:hAnsi="宋体"/>
          <w:b/>
          <w:sz w:val="24"/>
        </w:rPr>
        <w:t>咨询人的义务</w:t>
      </w:r>
    </w:p>
    <w:p>
      <w:pPr>
        <w:spacing w:line="360" w:lineRule="auto"/>
        <w:rPr>
          <w:rFonts w:ascii="宋体" w:hAnsi="宋体"/>
          <w:sz w:val="24"/>
        </w:rPr>
      </w:pPr>
      <w:r>
        <w:rPr>
          <w:rFonts w:ascii="宋体" w:hAnsi="宋体"/>
          <w:sz w:val="24"/>
        </w:rPr>
        <w:t>　　</w:t>
      </w:r>
      <w:r>
        <w:rPr>
          <w:rFonts w:ascii="宋体" w:hAnsi="宋体"/>
          <w:b/>
          <w:sz w:val="24"/>
        </w:rPr>
        <w:t>第四条</w:t>
      </w:r>
      <w:r>
        <w:rPr>
          <w:rFonts w:ascii="宋体" w:hAnsi="宋体"/>
          <w:sz w:val="24"/>
        </w:rPr>
        <w:t>　向委托人提供与工程造价咨询业务有关的资料，包括工程造价咨询的资质证书及承担本合同业务的专业人员名单、咨询工作计划等，并按合同专用条件中约定的范围实施咨询业务。</w:t>
      </w:r>
    </w:p>
    <w:p>
      <w:pPr>
        <w:spacing w:line="360" w:lineRule="auto"/>
        <w:rPr>
          <w:rFonts w:ascii="宋体" w:hAnsi="宋体"/>
          <w:sz w:val="24"/>
        </w:rPr>
      </w:pPr>
      <w:r>
        <w:rPr>
          <w:rFonts w:ascii="宋体" w:hAnsi="宋体"/>
          <w:sz w:val="24"/>
        </w:rPr>
        <w:t>　　</w:t>
      </w:r>
      <w:r>
        <w:rPr>
          <w:rFonts w:ascii="宋体" w:hAnsi="宋体"/>
          <w:b/>
          <w:sz w:val="24"/>
        </w:rPr>
        <w:t>第五条</w:t>
      </w:r>
      <w:r>
        <w:rPr>
          <w:rFonts w:ascii="宋体" w:hAnsi="宋体"/>
          <w:sz w:val="24"/>
        </w:rPr>
        <w:t>　咨询人在履行本合同期间，向委托人提供的服务包括正常服务、附加服务和额外服务。</w:t>
      </w:r>
    </w:p>
    <w:p>
      <w:pPr>
        <w:spacing w:line="360" w:lineRule="auto"/>
        <w:rPr>
          <w:rFonts w:ascii="宋体" w:hAnsi="宋体"/>
          <w:sz w:val="24"/>
        </w:rPr>
      </w:pPr>
      <w:r>
        <w:rPr>
          <w:rFonts w:ascii="宋体" w:hAnsi="宋体"/>
          <w:sz w:val="24"/>
        </w:rPr>
        <w:t>　　1、“正常服务”是指双方在专用条件中约定的工程造价咨询工作；</w:t>
      </w:r>
    </w:p>
    <w:p>
      <w:pPr>
        <w:spacing w:line="360" w:lineRule="auto"/>
        <w:rPr>
          <w:rFonts w:ascii="宋体" w:hAnsi="宋体"/>
          <w:sz w:val="24"/>
        </w:rPr>
      </w:pPr>
      <w:r>
        <w:rPr>
          <w:rFonts w:ascii="宋体" w:hAnsi="宋体"/>
          <w:sz w:val="24"/>
        </w:rPr>
        <w:t>　　2、“附加服务”是指在“正常服务”以外，经双方书面协议确定的附加服务；</w:t>
      </w:r>
    </w:p>
    <w:p>
      <w:pPr>
        <w:spacing w:line="360" w:lineRule="auto"/>
        <w:rPr>
          <w:rFonts w:ascii="宋体" w:hAnsi="宋体"/>
          <w:sz w:val="24"/>
        </w:rPr>
      </w:pPr>
      <w:r>
        <w:rPr>
          <w:rFonts w:ascii="宋体" w:hAnsi="宋体"/>
          <w:sz w:val="24"/>
        </w:rPr>
        <w:t>　　3、“额外服务”是指不属于“正常服务”和“附加服务”，但根据合同标准条件第十三条、第二十条和二十二条的规定，咨询人应增加的额外工作量。</w:t>
      </w:r>
    </w:p>
    <w:p>
      <w:pPr>
        <w:spacing w:line="360" w:lineRule="auto"/>
        <w:rPr>
          <w:rFonts w:ascii="宋体" w:hAnsi="宋体"/>
          <w:sz w:val="24"/>
        </w:rPr>
      </w:pPr>
      <w:r>
        <w:rPr>
          <w:rFonts w:ascii="宋体" w:hAnsi="宋体"/>
          <w:sz w:val="24"/>
        </w:rPr>
        <w:t>　　</w:t>
      </w:r>
      <w:r>
        <w:rPr>
          <w:rFonts w:ascii="宋体" w:hAnsi="宋体"/>
          <w:b/>
          <w:sz w:val="24"/>
        </w:rPr>
        <w:t>第六条</w:t>
      </w:r>
      <w:r>
        <w:rPr>
          <w:rFonts w:ascii="宋体" w:hAnsi="宋体"/>
          <w:sz w:val="24"/>
        </w:rPr>
        <w:t>　在履行合同期间或合同规定期限内，不得泄露与本合同规定业务活动有关的保密资料。</w:t>
      </w:r>
    </w:p>
    <w:p>
      <w:pPr>
        <w:spacing w:line="360" w:lineRule="auto"/>
        <w:jc w:val="center"/>
        <w:rPr>
          <w:rFonts w:ascii="宋体" w:hAnsi="宋体"/>
          <w:b/>
          <w:sz w:val="24"/>
        </w:rPr>
      </w:pPr>
      <w:r>
        <w:rPr>
          <w:rFonts w:ascii="宋体" w:hAnsi="宋体"/>
          <w:b/>
          <w:sz w:val="24"/>
        </w:rPr>
        <w:t>委托人的义务</w:t>
      </w:r>
    </w:p>
    <w:p>
      <w:pPr>
        <w:spacing w:line="360" w:lineRule="auto"/>
        <w:rPr>
          <w:rFonts w:ascii="宋体" w:hAnsi="宋体"/>
          <w:sz w:val="24"/>
        </w:rPr>
      </w:pPr>
      <w:r>
        <w:rPr>
          <w:rFonts w:ascii="宋体" w:hAnsi="宋体"/>
          <w:sz w:val="24"/>
        </w:rPr>
        <w:t>　　</w:t>
      </w:r>
      <w:r>
        <w:rPr>
          <w:rFonts w:ascii="宋体" w:hAnsi="宋体"/>
          <w:b/>
          <w:sz w:val="24"/>
        </w:rPr>
        <w:t>第七条</w:t>
      </w:r>
      <w:r>
        <w:rPr>
          <w:rFonts w:ascii="宋体" w:hAnsi="宋体"/>
          <w:sz w:val="24"/>
        </w:rPr>
        <w:t>　委托人应负责与本建设工程造价咨询业务有关的第三人的协调，为咨询人工作提供外部条件。</w:t>
      </w:r>
    </w:p>
    <w:p>
      <w:pPr>
        <w:spacing w:line="360" w:lineRule="auto"/>
        <w:rPr>
          <w:rFonts w:ascii="宋体" w:hAnsi="宋体"/>
          <w:sz w:val="24"/>
        </w:rPr>
      </w:pPr>
      <w:r>
        <w:rPr>
          <w:rFonts w:ascii="宋体" w:hAnsi="宋体"/>
          <w:sz w:val="24"/>
        </w:rPr>
        <w:t>　　</w:t>
      </w:r>
      <w:r>
        <w:rPr>
          <w:rFonts w:ascii="宋体" w:hAnsi="宋体"/>
          <w:b/>
          <w:sz w:val="24"/>
        </w:rPr>
        <w:t>第八条</w:t>
      </w:r>
      <w:r>
        <w:rPr>
          <w:rFonts w:ascii="宋体" w:hAnsi="宋体"/>
          <w:sz w:val="24"/>
        </w:rPr>
        <w:t>　委托人应当在约定的时间内，免费向咨询人提供与本项目咨询业务有关的资料。</w:t>
      </w:r>
    </w:p>
    <w:p>
      <w:pPr>
        <w:spacing w:line="360" w:lineRule="auto"/>
        <w:rPr>
          <w:rFonts w:ascii="宋体" w:hAnsi="宋体"/>
          <w:sz w:val="24"/>
        </w:rPr>
      </w:pPr>
      <w:r>
        <w:rPr>
          <w:rFonts w:ascii="宋体" w:hAnsi="宋体"/>
          <w:sz w:val="24"/>
        </w:rPr>
        <w:t>　　</w:t>
      </w:r>
      <w:r>
        <w:rPr>
          <w:rFonts w:ascii="宋体" w:hAnsi="宋体"/>
          <w:b/>
          <w:sz w:val="24"/>
        </w:rPr>
        <w:t>第九条</w:t>
      </w:r>
      <w:r>
        <w:rPr>
          <w:rFonts w:ascii="宋体" w:hAnsi="宋体"/>
          <w:sz w:val="24"/>
        </w:rPr>
        <w:t>　委托人应当在约定的时间内就咨询人书面提交并要求做出答复的事宜做出书面答复。咨询人要求第三人提供有关资料时，委托人应负责转达及资料转送。</w:t>
      </w:r>
    </w:p>
    <w:p>
      <w:pPr>
        <w:spacing w:line="360" w:lineRule="auto"/>
        <w:rPr>
          <w:rFonts w:ascii="宋体" w:hAnsi="宋体"/>
          <w:sz w:val="24"/>
        </w:rPr>
      </w:pPr>
      <w:r>
        <w:rPr>
          <w:rFonts w:ascii="宋体" w:hAnsi="宋体"/>
          <w:sz w:val="24"/>
        </w:rPr>
        <w:t>　　</w:t>
      </w:r>
      <w:r>
        <w:rPr>
          <w:rFonts w:ascii="宋体" w:hAnsi="宋体"/>
          <w:b/>
          <w:sz w:val="24"/>
        </w:rPr>
        <w:t>第十条</w:t>
      </w:r>
      <w:r>
        <w:rPr>
          <w:rFonts w:ascii="宋体" w:hAnsi="宋体"/>
          <w:sz w:val="24"/>
        </w:rPr>
        <w:t>　委托人应当授权胜任本咨询业务的代表，负责与咨询人联系。</w:t>
      </w:r>
    </w:p>
    <w:p>
      <w:pPr>
        <w:spacing w:line="360" w:lineRule="auto"/>
        <w:jc w:val="center"/>
        <w:rPr>
          <w:rFonts w:ascii="宋体" w:hAnsi="宋体"/>
          <w:b/>
          <w:sz w:val="24"/>
        </w:rPr>
      </w:pPr>
      <w:r>
        <w:rPr>
          <w:rFonts w:ascii="宋体" w:hAnsi="宋体"/>
          <w:b/>
          <w:sz w:val="24"/>
        </w:rPr>
        <w:t>咨询人的权利</w:t>
      </w:r>
    </w:p>
    <w:p>
      <w:pPr>
        <w:spacing w:line="360" w:lineRule="auto"/>
        <w:rPr>
          <w:rFonts w:ascii="宋体" w:hAnsi="宋体"/>
          <w:sz w:val="24"/>
        </w:rPr>
      </w:pPr>
      <w:r>
        <w:rPr>
          <w:rFonts w:ascii="宋体" w:hAnsi="宋体"/>
          <w:sz w:val="24"/>
        </w:rPr>
        <w:t>　　</w:t>
      </w:r>
      <w:r>
        <w:rPr>
          <w:rFonts w:ascii="宋体" w:hAnsi="宋体"/>
          <w:b/>
          <w:sz w:val="24"/>
        </w:rPr>
        <w:t>第十一条</w:t>
      </w:r>
      <w:r>
        <w:rPr>
          <w:rFonts w:ascii="宋体" w:hAnsi="宋体"/>
          <w:sz w:val="24"/>
        </w:rPr>
        <w:t>　委托人在委托的建设工程造价咨询业务范围内，授予咨询人以下权利：</w:t>
      </w:r>
    </w:p>
    <w:p>
      <w:pPr>
        <w:spacing w:line="360" w:lineRule="auto"/>
        <w:rPr>
          <w:rFonts w:ascii="宋体" w:hAnsi="宋体"/>
          <w:sz w:val="24"/>
        </w:rPr>
      </w:pPr>
      <w:r>
        <w:rPr>
          <w:rFonts w:ascii="宋体" w:hAnsi="宋体"/>
          <w:sz w:val="24"/>
        </w:rPr>
        <w:t>　　1、咨询人在咨询过程中，如委托人提供的资料不明确时可向委托人提出书面报告。</w:t>
      </w:r>
    </w:p>
    <w:p>
      <w:pPr>
        <w:spacing w:line="360" w:lineRule="auto"/>
        <w:rPr>
          <w:rFonts w:ascii="宋体" w:hAnsi="宋体"/>
          <w:sz w:val="24"/>
        </w:rPr>
      </w:pPr>
      <w:r>
        <w:rPr>
          <w:rFonts w:ascii="宋体" w:hAnsi="宋体"/>
          <w:sz w:val="24"/>
        </w:rPr>
        <w:t>　　2、咨询人在咨询过程中，有权对第三人提出与本咨询业务有关的问题进行核对或查问。</w:t>
      </w:r>
    </w:p>
    <w:p>
      <w:pPr>
        <w:spacing w:line="360" w:lineRule="auto"/>
        <w:ind w:firstLine="480" w:firstLineChars="200"/>
        <w:rPr>
          <w:rFonts w:ascii="宋体" w:hAnsi="宋体"/>
          <w:sz w:val="24"/>
        </w:rPr>
      </w:pPr>
      <w:r>
        <w:rPr>
          <w:rFonts w:ascii="宋体" w:hAnsi="宋体"/>
          <w:sz w:val="24"/>
        </w:rPr>
        <w:t>3、咨询人在咨询过程中，有到工程现场勘察的权利。</w:t>
      </w:r>
    </w:p>
    <w:p>
      <w:pPr>
        <w:spacing w:line="360" w:lineRule="auto"/>
        <w:jc w:val="center"/>
        <w:rPr>
          <w:rFonts w:ascii="宋体" w:hAnsi="宋体"/>
          <w:b/>
          <w:sz w:val="24"/>
        </w:rPr>
      </w:pPr>
      <w:r>
        <w:rPr>
          <w:rFonts w:ascii="宋体" w:hAnsi="宋体"/>
          <w:b/>
          <w:sz w:val="24"/>
        </w:rPr>
        <w:t>委托人的权利</w:t>
      </w:r>
    </w:p>
    <w:p>
      <w:pPr>
        <w:spacing w:line="360" w:lineRule="auto"/>
        <w:rPr>
          <w:rFonts w:ascii="宋体" w:hAnsi="宋体"/>
          <w:sz w:val="24"/>
        </w:rPr>
      </w:pPr>
      <w:r>
        <w:rPr>
          <w:rFonts w:ascii="宋体" w:hAnsi="宋体"/>
          <w:sz w:val="24"/>
        </w:rPr>
        <w:t>　　</w:t>
      </w:r>
      <w:r>
        <w:rPr>
          <w:rFonts w:ascii="宋体" w:hAnsi="宋体"/>
          <w:b/>
          <w:sz w:val="24"/>
        </w:rPr>
        <w:t>第十二条</w:t>
      </w:r>
      <w:r>
        <w:rPr>
          <w:rFonts w:ascii="宋体" w:hAnsi="宋体"/>
          <w:sz w:val="24"/>
        </w:rPr>
        <w:t>　委托人有下列权利：</w:t>
      </w:r>
    </w:p>
    <w:p>
      <w:pPr>
        <w:spacing w:line="360" w:lineRule="auto"/>
        <w:rPr>
          <w:rFonts w:ascii="宋体" w:hAnsi="宋体"/>
          <w:sz w:val="24"/>
        </w:rPr>
      </w:pPr>
      <w:r>
        <w:rPr>
          <w:rFonts w:ascii="宋体" w:hAnsi="宋体"/>
          <w:sz w:val="24"/>
        </w:rPr>
        <w:t>　　1、委托人有权向咨询人询问工作进展情况及相关的内容。</w:t>
      </w:r>
    </w:p>
    <w:p>
      <w:pPr>
        <w:spacing w:line="360" w:lineRule="auto"/>
        <w:rPr>
          <w:rFonts w:ascii="宋体" w:hAnsi="宋体"/>
          <w:sz w:val="24"/>
        </w:rPr>
      </w:pPr>
      <w:r>
        <w:rPr>
          <w:rFonts w:ascii="宋体" w:hAnsi="宋体"/>
          <w:sz w:val="24"/>
        </w:rPr>
        <w:t>　　2、委托人有权阐述对具体问题的意见和建议。</w:t>
      </w:r>
    </w:p>
    <w:p>
      <w:pPr>
        <w:spacing w:line="360" w:lineRule="auto"/>
        <w:rPr>
          <w:rFonts w:ascii="宋体" w:hAnsi="宋体"/>
          <w:sz w:val="24"/>
        </w:rPr>
      </w:pPr>
      <w:r>
        <w:rPr>
          <w:rFonts w:ascii="宋体" w:hAnsi="宋体"/>
          <w:sz w:val="24"/>
        </w:rPr>
        <w:t>　　3、当委托人认定咨询专业人员不按咨询合同履行其职责，或与第三人串通给委托人造成经济损失的，委托人有权要求更换咨询专业人员，直至终止合同并要求咨询人承担相应的赔偿责任。</w:t>
      </w:r>
    </w:p>
    <w:p>
      <w:pPr>
        <w:spacing w:line="360" w:lineRule="auto"/>
        <w:jc w:val="center"/>
        <w:rPr>
          <w:rFonts w:ascii="宋体" w:hAnsi="宋体"/>
          <w:b/>
          <w:sz w:val="24"/>
        </w:rPr>
      </w:pPr>
      <w:r>
        <w:rPr>
          <w:rFonts w:ascii="宋体" w:hAnsi="宋体"/>
          <w:b/>
          <w:sz w:val="24"/>
        </w:rPr>
        <w:t>咨询人的责任</w:t>
      </w:r>
    </w:p>
    <w:p>
      <w:pPr>
        <w:spacing w:line="360" w:lineRule="auto"/>
        <w:rPr>
          <w:rFonts w:ascii="宋体" w:hAnsi="宋体"/>
          <w:sz w:val="24"/>
        </w:rPr>
      </w:pPr>
      <w:r>
        <w:rPr>
          <w:rFonts w:ascii="宋体" w:hAnsi="宋体"/>
          <w:sz w:val="24"/>
        </w:rPr>
        <w:t>　　</w:t>
      </w:r>
      <w:r>
        <w:rPr>
          <w:rFonts w:ascii="宋体" w:hAnsi="宋体"/>
          <w:b/>
          <w:sz w:val="24"/>
        </w:rPr>
        <w:t>第十三条</w:t>
      </w:r>
      <w:r>
        <w:rPr>
          <w:rFonts w:ascii="宋体" w:hAnsi="宋体"/>
          <w:sz w:val="24"/>
        </w:rPr>
        <w:t>　咨询人的责任期即建设工程造价咨询合同有效期。如因非咨询人的责任造成进度的推迟或延误而超过约定的日期，双方应进一步约定相应延长合同有效期。</w:t>
      </w:r>
    </w:p>
    <w:p>
      <w:pPr>
        <w:spacing w:line="360" w:lineRule="auto"/>
        <w:rPr>
          <w:rFonts w:ascii="宋体" w:hAnsi="宋体"/>
          <w:sz w:val="24"/>
        </w:rPr>
      </w:pPr>
      <w:r>
        <w:rPr>
          <w:rFonts w:ascii="宋体" w:hAnsi="宋体"/>
          <w:sz w:val="24"/>
        </w:rPr>
        <w:t>　　</w:t>
      </w:r>
      <w:r>
        <w:rPr>
          <w:rFonts w:ascii="宋体" w:hAnsi="宋体"/>
          <w:b/>
          <w:sz w:val="24"/>
        </w:rPr>
        <w:t>第十四条</w:t>
      </w:r>
      <w:r>
        <w:rPr>
          <w:rFonts w:ascii="宋体" w:hAnsi="宋体"/>
          <w:sz w:val="24"/>
        </w:rPr>
        <w:t>　咨询人责任期内，应当履行建设工程造价咨询合同中约定的义务，因咨询人的单方过失造成的经济损失，应当向委托人进行赔偿。累计赔偿总额不应超过建设工程造价咨询酬金总额（除去税金）。</w:t>
      </w:r>
    </w:p>
    <w:p>
      <w:pPr>
        <w:spacing w:line="360" w:lineRule="auto"/>
        <w:rPr>
          <w:rFonts w:ascii="宋体" w:hAnsi="宋体"/>
          <w:sz w:val="24"/>
        </w:rPr>
      </w:pPr>
      <w:r>
        <w:rPr>
          <w:rFonts w:ascii="宋体" w:hAnsi="宋体"/>
          <w:sz w:val="24"/>
        </w:rPr>
        <w:t>　　</w:t>
      </w:r>
      <w:r>
        <w:rPr>
          <w:rFonts w:ascii="宋体" w:hAnsi="宋体"/>
          <w:b/>
          <w:sz w:val="24"/>
        </w:rPr>
        <w:t>第十五条</w:t>
      </w:r>
      <w:r>
        <w:rPr>
          <w:rFonts w:ascii="宋体" w:hAnsi="宋体"/>
          <w:sz w:val="24"/>
        </w:rPr>
        <w:t>　咨询人对委托人或第三人所提出的问题不能及时核对或答复，导致合同不能全部或部分履行，咨询人应承担责任。</w:t>
      </w:r>
    </w:p>
    <w:p>
      <w:pPr>
        <w:spacing w:line="360" w:lineRule="auto"/>
        <w:rPr>
          <w:rFonts w:ascii="宋体" w:hAnsi="宋体"/>
          <w:sz w:val="24"/>
        </w:rPr>
      </w:pPr>
      <w:r>
        <w:rPr>
          <w:rFonts w:ascii="宋体" w:hAnsi="宋体"/>
          <w:sz w:val="24"/>
        </w:rPr>
        <w:t>　　</w:t>
      </w:r>
      <w:r>
        <w:rPr>
          <w:rFonts w:ascii="宋体" w:hAnsi="宋体"/>
          <w:b/>
          <w:sz w:val="24"/>
        </w:rPr>
        <w:t>第十六条</w:t>
      </w:r>
      <w:r>
        <w:rPr>
          <w:rFonts w:ascii="宋体" w:hAnsi="宋体"/>
          <w:sz w:val="24"/>
        </w:rPr>
        <w:t>　咨询人向委托人提出赔偿要求不能成立时，则应补偿由于该赔偿或其他要求所导致委托人的各种费用的支出。</w:t>
      </w:r>
    </w:p>
    <w:p>
      <w:pPr>
        <w:spacing w:line="360" w:lineRule="auto"/>
        <w:jc w:val="center"/>
        <w:rPr>
          <w:rFonts w:ascii="宋体" w:hAnsi="宋体"/>
          <w:b/>
          <w:sz w:val="24"/>
        </w:rPr>
      </w:pPr>
      <w:r>
        <w:rPr>
          <w:rFonts w:ascii="宋体" w:hAnsi="宋体"/>
          <w:b/>
          <w:sz w:val="24"/>
        </w:rPr>
        <w:t>委托人的责任</w:t>
      </w:r>
    </w:p>
    <w:p>
      <w:pPr>
        <w:spacing w:line="360" w:lineRule="auto"/>
        <w:rPr>
          <w:rFonts w:ascii="宋体" w:hAnsi="宋体"/>
          <w:sz w:val="24"/>
        </w:rPr>
      </w:pPr>
      <w:r>
        <w:rPr>
          <w:rFonts w:ascii="宋体" w:hAnsi="宋体"/>
          <w:sz w:val="24"/>
        </w:rPr>
        <w:t>　　</w:t>
      </w:r>
      <w:r>
        <w:rPr>
          <w:rFonts w:ascii="宋体" w:hAnsi="宋体"/>
          <w:b/>
          <w:sz w:val="24"/>
        </w:rPr>
        <w:t>第十七条</w:t>
      </w:r>
      <w:r>
        <w:rPr>
          <w:rFonts w:ascii="宋体" w:hAnsi="宋体"/>
          <w:sz w:val="24"/>
        </w:rPr>
        <w:t>　委托人应当履行建设工程造价咨询合同约定的义务，如有违反则应当承担违约责任，赔偿给咨询人造成的损失。</w:t>
      </w:r>
    </w:p>
    <w:p>
      <w:pPr>
        <w:spacing w:line="360" w:lineRule="auto"/>
        <w:rPr>
          <w:rFonts w:ascii="宋体" w:hAnsi="宋体"/>
          <w:sz w:val="24"/>
        </w:rPr>
      </w:pPr>
      <w:r>
        <w:rPr>
          <w:rFonts w:ascii="宋体" w:hAnsi="宋体"/>
          <w:sz w:val="24"/>
        </w:rPr>
        <w:t>　　</w:t>
      </w:r>
      <w:r>
        <w:rPr>
          <w:rFonts w:ascii="宋体" w:hAnsi="宋体"/>
          <w:b/>
          <w:sz w:val="24"/>
        </w:rPr>
        <w:t>第十八条</w:t>
      </w:r>
      <w:r>
        <w:rPr>
          <w:rFonts w:ascii="宋体" w:hAnsi="宋体"/>
          <w:sz w:val="24"/>
        </w:rPr>
        <w:t>　委托人如果向咨询人提出赔偿或其他要求不能成立时，则应补偿由于该赔偿或其他要求所导致咨询人的各种费用的支出。</w:t>
      </w:r>
    </w:p>
    <w:p>
      <w:pPr>
        <w:spacing w:line="360" w:lineRule="auto"/>
        <w:jc w:val="center"/>
        <w:rPr>
          <w:rFonts w:ascii="宋体" w:hAnsi="宋体"/>
          <w:b/>
          <w:sz w:val="24"/>
        </w:rPr>
      </w:pPr>
      <w:r>
        <w:rPr>
          <w:rFonts w:ascii="宋体" w:hAnsi="宋体"/>
          <w:b/>
          <w:sz w:val="24"/>
        </w:rPr>
        <w:t>合同生效，变更与终止</w:t>
      </w:r>
    </w:p>
    <w:p>
      <w:pPr>
        <w:spacing w:line="360" w:lineRule="auto"/>
        <w:rPr>
          <w:rFonts w:ascii="宋体" w:hAnsi="宋体"/>
          <w:sz w:val="24"/>
        </w:rPr>
      </w:pPr>
      <w:r>
        <w:rPr>
          <w:rFonts w:ascii="宋体" w:hAnsi="宋体"/>
          <w:sz w:val="24"/>
        </w:rPr>
        <w:t>　　</w:t>
      </w:r>
      <w:r>
        <w:rPr>
          <w:rFonts w:ascii="宋体" w:hAnsi="宋体"/>
          <w:b/>
          <w:sz w:val="24"/>
        </w:rPr>
        <w:t>第十九条</w:t>
      </w:r>
      <w:r>
        <w:rPr>
          <w:rFonts w:ascii="宋体" w:hAnsi="宋体"/>
          <w:sz w:val="24"/>
        </w:rPr>
        <w:t>　本合同自双方签字盖章之日起生效。</w:t>
      </w:r>
    </w:p>
    <w:p>
      <w:pPr>
        <w:spacing w:line="360" w:lineRule="auto"/>
        <w:rPr>
          <w:rFonts w:ascii="宋体" w:hAnsi="宋体"/>
          <w:sz w:val="24"/>
        </w:rPr>
      </w:pPr>
      <w:r>
        <w:rPr>
          <w:rFonts w:ascii="宋体" w:hAnsi="宋体"/>
          <w:sz w:val="24"/>
        </w:rPr>
        <w:t>　　</w:t>
      </w:r>
      <w:r>
        <w:rPr>
          <w:rFonts w:ascii="宋体" w:hAnsi="宋体"/>
          <w:b/>
          <w:sz w:val="24"/>
        </w:rPr>
        <w:t>第二十条</w:t>
      </w:r>
      <w:r>
        <w:rPr>
          <w:rFonts w:ascii="宋体" w:hAnsi="宋体"/>
          <w:sz w:val="24"/>
        </w:rPr>
        <w:t>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spacing w:line="360" w:lineRule="auto"/>
        <w:rPr>
          <w:rFonts w:ascii="宋体" w:hAnsi="宋体"/>
          <w:sz w:val="24"/>
        </w:rPr>
      </w:pPr>
      <w:r>
        <w:rPr>
          <w:rFonts w:ascii="宋体" w:hAnsi="宋体"/>
          <w:sz w:val="24"/>
        </w:rPr>
        <w:t>　　</w:t>
      </w:r>
      <w:r>
        <w:rPr>
          <w:rFonts w:ascii="宋体" w:hAnsi="宋体"/>
          <w:b/>
          <w:sz w:val="24"/>
        </w:rPr>
        <w:t>第二十一条</w:t>
      </w:r>
      <w:r>
        <w:rPr>
          <w:rFonts w:ascii="宋体" w:hAnsi="宋体"/>
          <w:sz w:val="24"/>
        </w:rPr>
        <w:t>　当事人一方要求变更或解除合同时，则应当在14日前通知对方；因变更或解除合同使一方遭受损失的，应由责任方负责赔偿。</w:t>
      </w:r>
    </w:p>
    <w:p>
      <w:pPr>
        <w:spacing w:line="360" w:lineRule="auto"/>
        <w:ind w:firstLine="472" w:firstLineChars="196"/>
        <w:rPr>
          <w:rFonts w:ascii="宋体" w:hAnsi="宋体"/>
          <w:sz w:val="24"/>
        </w:rPr>
      </w:pPr>
      <w:r>
        <w:rPr>
          <w:rFonts w:ascii="宋体" w:hAnsi="宋体"/>
          <w:b/>
          <w:sz w:val="24"/>
        </w:rPr>
        <w:t>第二十二条</w:t>
      </w:r>
      <w:r>
        <w:rPr>
          <w:rFonts w:ascii="宋体" w:hAnsi="宋体"/>
          <w:sz w:val="24"/>
        </w:rPr>
        <w:t>　咨询人由于非自身原因暂停或终止执行建设工程造价咨询业务，由此而增加的恢复执行建设工程造价咨询业务的工作，应视为额外服务，有权得到额外的时间和酬金。</w:t>
      </w:r>
    </w:p>
    <w:p>
      <w:pPr>
        <w:spacing w:line="360" w:lineRule="auto"/>
        <w:rPr>
          <w:rFonts w:ascii="宋体" w:hAnsi="宋体"/>
          <w:sz w:val="24"/>
        </w:rPr>
      </w:pPr>
      <w:r>
        <w:rPr>
          <w:rFonts w:ascii="宋体" w:hAnsi="宋体"/>
          <w:sz w:val="24"/>
        </w:rPr>
        <w:t>　　</w:t>
      </w:r>
      <w:r>
        <w:rPr>
          <w:rFonts w:ascii="宋体" w:hAnsi="宋体"/>
          <w:b/>
          <w:sz w:val="24"/>
        </w:rPr>
        <w:t>第二十三条</w:t>
      </w:r>
      <w:r>
        <w:rPr>
          <w:rFonts w:ascii="宋体" w:hAnsi="宋体"/>
          <w:sz w:val="24"/>
        </w:rPr>
        <w:t>　变更或解除合同的通知或协议应当采取书面形式，新的协议未达成之前，原合同仍然有效。</w:t>
      </w:r>
    </w:p>
    <w:p>
      <w:pPr>
        <w:spacing w:line="360" w:lineRule="auto"/>
        <w:jc w:val="center"/>
        <w:rPr>
          <w:rFonts w:ascii="宋体" w:hAnsi="宋体"/>
          <w:b/>
          <w:sz w:val="24"/>
        </w:rPr>
      </w:pPr>
      <w:r>
        <w:rPr>
          <w:rFonts w:ascii="宋体" w:hAnsi="宋体"/>
          <w:b/>
          <w:sz w:val="24"/>
        </w:rPr>
        <w:t>咨询业务的酬金</w:t>
      </w:r>
    </w:p>
    <w:p>
      <w:pPr>
        <w:spacing w:line="360" w:lineRule="auto"/>
        <w:rPr>
          <w:rFonts w:ascii="宋体" w:hAnsi="宋体"/>
          <w:sz w:val="24"/>
        </w:rPr>
      </w:pPr>
      <w:r>
        <w:rPr>
          <w:rFonts w:ascii="宋体" w:hAnsi="宋体"/>
          <w:sz w:val="24"/>
        </w:rPr>
        <w:t>　　</w:t>
      </w:r>
      <w:r>
        <w:rPr>
          <w:rFonts w:ascii="宋体" w:hAnsi="宋体"/>
          <w:b/>
          <w:sz w:val="24"/>
        </w:rPr>
        <w:t>第二十四条</w:t>
      </w:r>
      <w:r>
        <w:rPr>
          <w:rFonts w:ascii="宋体" w:hAnsi="宋体"/>
          <w:sz w:val="24"/>
        </w:rPr>
        <w:t>　正常的建设工程造价咨询业务，附加工作和额外工作的酬金，按照建设工程造价咨询合同专用条件约定的方法计取，并按约定的时间和数额支付。</w:t>
      </w:r>
    </w:p>
    <w:p>
      <w:pPr>
        <w:spacing w:line="360" w:lineRule="auto"/>
        <w:rPr>
          <w:rFonts w:ascii="宋体" w:hAnsi="宋体"/>
          <w:sz w:val="24"/>
        </w:rPr>
      </w:pPr>
      <w:r>
        <w:rPr>
          <w:rFonts w:ascii="宋体" w:hAnsi="宋体"/>
          <w:sz w:val="24"/>
        </w:rPr>
        <w:t>　　</w:t>
      </w:r>
      <w:r>
        <w:rPr>
          <w:rFonts w:ascii="宋体" w:hAnsi="宋体"/>
          <w:b/>
          <w:sz w:val="24"/>
        </w:rPr>
        <w:t>第二十五条</w:t>
      </w:r>
      <w:r>
        <w:rPr>
          <w:rFonts w:ascii="宋体" w:hAnsi="宋体"/>
          <w:sz w:val="24"/>
        </w:rPr>
        <w:t>　如果委托人在规定的支付期限内未支付建设工程造价咨询酬金，自规定支付之日起，应当向咨询人补偿应支付的酬金利息。利息额按规定支付期限最后一日银行活期贷款乘以拖欠酬金时间计算。</w:t>
      </w:r>
    </w:p>
    <w:p>
      <w:pPr>
        <w:spacing w:line="360" w:lineRule="auto"/>
        <w:rPr>
          <w:rFonts w:ascii="宋体" w:hAnsi="宋体"/>
          <w:b/>
          <w:sz w:val="24"/>
        </w:rPr>
      </w:pPr>
      <w:r>
        <w:rPr>
          <w:rFonts w:ascii="宋体" w:hAnsi="宋体"/>
          <w:sz w:val="24"/>
        </w:rPr>
        <w:t>　　</w:t>
      </w:r>
      <w:r>
        <w:rPr>
          <w:rFonts w:ascii="宋体" w:hAnsi="宋体"/>
          <w:b/>
          <w:sz w:val="24"/>
        </w:rPr>
        <w:t>第二十六条</w:t>
      </w:r>
      <w:r>
        <w:rPr>
          <w:rFonts w:ascii="宋体" w:hAnsi="宋体"/>
          <w:sz w:val="24"/>
        </w:rPr>
        <w:t>　如果委托人对咨询人提交的支付通知书中酬金或部分酬金项目提出异议，应当在收到支付通知书两日内向咨询人发出异议的通知，但委托人不得拖延其无异议酬金项目的支付。</w:t>
      </w:r>
    </w:p>
    <w:p>
      <w:pPr>
        <w:spacing w:line="360" w:lineRule="auto"/>
        <w:rPr>
          <w:rFonts w:ascii="宋体" w:hAnsi="宋体"/>
          <w:sz w:val="24"/>
        </w:rPr>
      </w:pPr>
      <w:r>
        <w:rPr>
          <w:rFonts w:ascii="宋体" w:hAnsi="宋体"/>
          <w:sz w:val="24"/>
        </w:rPr>
        <w:t>　　</w:t>
      </w:r>
      <w:r>
        <w:rPr>
          <w:rFonts w:ascii="宋体" w:hAnsi="宋体"/>
          <w:b/>
          <w:sz w:val="24"/>
        </w:rPr>
        <w:t>第二十七条</w:t>
      </w:r>
      <w:r>
        <w:rPr>
          <w:rFonts w:ascii="宋体" w:hAnsi="宋体"/>
          <w:sz w:val="24"/>
        </w:rPr>
        <w:t>　支付建设工程造价咨询酬金所采取的货币币种、汇率由合同专用条件约定。</w:t>
      </w:r>
    </w:p>
    <w:p>
      <w:pPr>
        <w:spacing w:line="360" w:lineRule="auto"/>
        <w:jc w:val="center"/>
        <w:rPr>
          <w:rFonts w:ascii="宋体" w:hAnsi="宋体"/>
          <w:b/>
          <w:sz w:val="24"/>
        </w:rPr>
      </w:pPr>
      <w:r>
        <w:rPr>
          <w:rFonts w:ascii="宋体" w:hAnsi="宋体"/>
          <w:b/>
          <w:sz w:val="24"/>
        </w:rPr>
        <w:t>其　　他</w:t>
      </w:r>
    </w:p>
    <w:p>
      <w:pPr>
        <w:spacing w:line="360" w:lineRule="auto"/>
        <w:rPr>
          <w:rFonts w:ascii="宋体" w:hAnsi="宋体"/>
          <w:sz w:val="24"/>
        </w:rPr>
      </w:pPr>
      <w:r>
        <w:rPr>
          <w:rFonts w:ascii="宋体" w:hAnsi="宋体"/>
          <w:sz w:val="24"/>
        </w:rPr>
        <w:t>　　</w:t>
      </w:r>
      <w:r>
        <w:rPr>
          <w:rFonts w:ascii="宋体" w:hAnsi="宋体"/>
          <w:b/>
          <w:sz w:val="24"/>
        </w:rPr>
        <w:t>第二十八条</w:t>
      </w:r>
      <w:r>
        <w:rPr>
          <w:rFonts w:ascii="宋体" w:hAnsi="宋体"/>
          <w:sz w:val="24"/>
        </w:rPr>
        <w:t>　因建设工程造价咨询业务的需要，咨询人在合同约定外的外出考察，经委托人同意，其所需费用由委托人负责。</w:t>
      </w:r>
    </w:p>
    <w:p>
      <w:pPr>
        <w:spacing w:line="360" w:lineRule="auto"/>
        <w:rPr>
          <w:rFonts w:ascii="宋体" w:hAnsi="宋体"/>
          <w:sz w:val="24"/>
        </w:rPr>
      </w:pPr>
      <w:r>
        <w:rPr>
          <w:rFonts w:ascii="宋体" w:hAnsi="宋体"/>
          <w:sz w:val="24"/>
        </w:rPr>
        <w:t>　　</w:t>
      </w:r>
      <w:r>
        <w:rPr>
          <w:rFonts w:ascii="宋体" w:hAnsi="宋体"/>
          <w:b/>
          <w:sz w:val="24"/>
        </w:rPr>
        <w:t>第二十九条</w:t>
      </w:r>
      <w:r>
        <w:rPr>
          <w:rFonts w:ascii="宋体" w:hAnsi="宋体"/>
          <w:sz w:val="24"/>
        </w:rPr>
        <w:t>　咨询人如需外聘专家协助，在委托的建设工程造价咨询业务范围内其费用由咨询人承担；在委托的建设工程造价咨询业务范围以外经委托人认可其费用由委托人承担。</w:t>
      </w:r>
    </w:p>
    <w:p>
      <w:pPr>
        <w:spacing w:line="360" w:lineRule="auto"/>
        <w:rPr>
          <w:rFonts w:ascii="宋体" w:hAnsi="宋体"/>
          <w:sz w:val="24"/>
        </w:rPr>
      </w:pPr>
      <w:r>
        <w:rPr>
          <w:rFonts w:ascii="宋体" w:hAnsi="宋体"/>
          <w:sz w:val="24"/>
        </w:rPr>
        <w:t>　　</w:t>
      </w:r>
      <w:r>
        <w:rPr>
          <w:rFonts w:ascii="宋体" w:hAnsi="宋体"/>
          <w:b/>
          <w:sz w:val="24"/>
        </w:rPr>
        <w:t>第三十条</w:t>
      </w:r>
      <w:r>
        <w:rPr>
          <w:rFonts w:ascii="宋体" w:hAnsi="宋体"/>
          <w:sz w:val="24"/>
        </w:rPr>
        <w:t>　未经对方的书面同意，各方均不得转让合同约定的权利和义务。</w:t>
      </w:r>
    </w:p>
    <w:p>
      <w:pPr>
        <w:spacing w:line="360" w:lineRule="auto"/>
        <w:rPr>
          <w:rFonts w:ascii="宋体" w:hAnsi="宋体"/>
          <w:sz w:val="24"/>
        </w:rPr>
      </w:pPr>
      <w:r>
        <w:rPr>
          <w:rFonts w:ascii="宋体" w:hAnsi="宋体"/>
          <w:sz w:val="24"/>
        </w:rPr>
        <w:t>　　</w:t>
      </w:r>
      <w:r>
        <w:rPr>
          <w:rFonts w:ascii="宋体" w:hAnsi="宋体"/>
          <w:b/>
          <w:sz w:val="24"/>
        </w:rPr>
        <w:t>第三十一条</w:t>
      </w:r>
      <w:r>
        <w:rPr>
          <w:rFonts w:ascii="宋体" w:hAnsi="宋体"/>
          <w:sz w:val="24"/>
        </w:rPr>
        <w:t>　除委托人书面同意外，咨询人及咨询专业人员不应接受建设工程造价咨询合同约定以外的与工程造价咨询项目有关的任何报酬。</w:t>
      </w:r>
    </w:p>
    <w:p>
      <w:pPr>
        <w:spacing w:line="360" w:lineRule="auto"/>
        <w:rPr>
          <w:rFonts w:ascii="宋体" w:hAnsi="宋体"/>
          <w:sz w:val="24"/>
        </w:rPr>
      </w:pPr>
      <w:r>
        <w:rPr>
          <w:rFonts w:ascii="宋体" w:hAnsi="宋体"/>
          <w:sz w:val="24"/>
        </w:rPr>
        <w:t>　　咨询人不得参与可能与合同规定的与委托人利益相冲突的任何活动。</w:t>
      </w:r>
    </w:p>
    <w:p>
      <w:pPr>
        <w:spacing w:line="360" w:lineRule="auto"/>
        <w:jc w:val="center"/>
        <w:rPr>
          <w:rFonts w:ascii="宋体" w:hAnsi="宋体"/>
          <w:b/>
          <w:sz w:val="24"/>
        </w:rPr>
      </w:pPr>
      <w:r>
        <w:rPr>
          <w:rFonts w:ascii="宋体" w:hAnsi="宋体"/>
          <w:b/>
          <w:sz w:val="24"/>
        </w:rPr>
        <w:t>合同争议的解决</w:t>
      </w:r>
    </w:p>
    <w:p>
      <w:pPr>
        <w:spacing w:line="360" w:lineRule="auto"/>
        <w:rPr>
          <w:rFonts w:ascii="宋体" w:hAnsi="宋体"/>
          <w:sz w:val="24"/>
        </w:rPr>
      </w:pPr>
      <w:r>
        <w:rPr>
          <w:rFonts w:ascii="宋体" w:hAnsi="宋体"/>
          <w:sz w:val="24"/>
        </w:rPr>
        <w:t>　　</w:t>
      </w:r>
      <w:r>
        <w:rPr>
          <w:rFonts w:ascii="宋体" w:hAnsi="宋体"/>
          <w:b/>
          <w:sz w:val="24"/>
        </w:rPr>
        <w:t>第三十二条</w:t>
      </w:r>
      <w:r>
        <w:rPr>
          <w:rFonts w:ascii="宋体" w:hAnsi="宋体"/>
          <w:sz w:val="24"/>
        </w:rPr>
        <w:t>　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360" w:lineRule="auto"/>
        <w:jc w:val="center"/>
        <w:rPr>
          <w:rFonts w:ascii="宋体" w:hAnsi="宋体"/>
          <w:b/>
          <w:sz w:val="24"/>
        </w:rPr>
      </w:pPr>
      <w:r>
        <w:rPr>
          <w:rFonts w:ascii="宋体" w:hAnsi="宋体"/>
          <w:sz w:val="24"/>
        </w:rPr>
        <w:br w:type="page"/>
      </w:r>
      <w:r>
        <w:rPr>
          <w:rFonts w:ascii="宋体" w:hAnsi="宋体"/>
          <w:b/>
          <w:sz w:val="24"/>
        </w:rPr>
        <w:t>第三部分　建设工程造价咨询合同专用条件</w:t>
      </w:r>
    </w:p>
    <w:p>
      <w:pPr>
        <w:spacing w:line="360" w:lineRule="auto"/>
        <w:ind w:firstLine="472" w:firstLineChars="196"/>
        <w:rPr>
          <w:rFonts w:ascii="宋体" w:hAnsi="宋体"/>
          <w:sz w:val="24"/>
          <w:u w:val="single"/>
        </w:rPr>
      </w:pPr>
      <w:r>
        <w:rPr>
          <w:rFonts w:ascii="宋体" w:hAnsi="宋体"/>
          <w:b/>
          <w:sz w:val="24"/>
        </w:rPr>
        <w:t>第</w:t>
      </w:r>
      <w:r>
        <w:rPr>
          <w:rFonts w:hint="eastAsia" w:ascii="宋体" w:hAnsi="宋体"/>
          <w:b/>
          <w:sz w:val="24"/>
        </w:rPr>
        <w:t>一</w:t>
      </w:r>
      <w:r>
        <w:rPr>
          <w:rFonts w:ascii="宋体" w:hAnsi="宋体"/>
          <w:b/>
          <w:sz w:val="24"/>
        </w:rPr>
        <w:t>条</w:t>
      </w:r>
      <w:r>
        <w:rPr>
          <w:rFonts w:ascii="宋体" w:hAnsi="宋体"/>
          <w:sz w:val="24"/>
        </w:rPr>
        <w:t>　本合同适用的法律、法规及工程造价计价办法和规定：</w:t>
      </w:r>
      <w:r>
        <w:rPr>
          <w:rFonts w:hint="eastAsia" w:ascii="宋体" w:hAnsi="宋体"/>
          <w:sz w:val="24"/>
          <w:u w:val="single"/>
        </w:rPr>
        <w:t>现行国家有关法律法规及重庆市工程计价办法和规定。</w:t>
      </w:r>
    </w:p>
    <w:p>
      <w:pPr>
        <w:spacing w:line="360" w:lineRule="auto"/>
        <w:ind w:firstLine="482" w:firstLineChars="200"/>
        <w:rPr>
          <w:rFonts w:ascii="宋体" w:hAnsi="宋体"/>
          <w:sz w:val="24"/>
        </w:rPr>
      </w:pPr>
      <w:r>
        <w:rPr>
          <w:rFonts w:ascii="宋体" w:hAnsi="宋体"/>
          <w:b/>
          <w:sz w:val="24"/>
        </w:rPr>
        <w:t>第</w:t>
      </w:r>
      <w:r>
        <w:rPr>
          <w:rFonts w:hint="eastAsia" w:ascii="宋体" w:hAnsi="宋体"/>
          <w:b/>
          <w:sz w:val="24"/>
        </w:rPr>
        <w:t>二</w:t>
      </w:r>
      <w:r>
        <w:rPr>
          <w:rFonts w:ascii="宋体" w:hAnsi="宋体"/>
          <w:b/>
          <w:sz w:val="24"/>
        </w:rPr>
        <w:t>条</w:t>
      </w:r>
      <w:r>
        <w:rPr>
          <w:rFonts w:hint="eastAsia" w:ascii="宋体" w:hAnsi="宋体"/>
          <w:sz w:val="24"/>
        </w:rPr>
        <w:t>建设工程造价咨询业务范围：</w:t>
      </w:r>
    </w:p>
    <w:p>
      <w:pPr>
        <w:widowControl/>
        <w:spacing w:line="480" w:lineRule="auto"/>
        <w:ind w:firstLine="470" w:firstLineChars="196"/>
        <w:rPr>
          <w:rFonts w:ascii="宋体" w:hAnsi="宋体" w:cs="宋体"/>
          <w:kern w:val="0"/>
          <w:sz w:val="24"/>
        </w:rPr>
      </w:pPr>
      <w:r>
        <w:rPr>
          <w:rFonts w:hint="eastAsia" w:ascii="宋体" w:hAnsi="宋体"/>
          <w:sz w:val="24"/>
        </w:rPr>
        <w:t>本合同</w:t>
      </w:r>
      <w:r>
        <w:rPr>
          <w:rFonts w:ascii="宋体" w:hAnsi="宋体"/>
          <w:sz w:val="24"/>
        </w:rPr>
        <w:t>建设工程造价咨询业务</w:t>
      </w:r>
      <w:r>
        <w:rPr>
          <w:rFonts w:hint="eastAsia" w:ascii="宋体" w:hAnsi="宋体"/>
          <w:sz w:val="24"/>
        </w:rPr>
        <w:t>范围为</w:t>
      </w:r>
      <w:r>
        <w:rPr>
          <w:rFonts w:ascii="宋体" w:hAnsi="宋体"/>
          <w:sz w:val="24"/>
        </w:rPr>
        <w:t>：</w:t>
      </w:r>
      <w:r>
        <w:rPr>
          <w:rFonts w:hint="eastAsia" w:ascii="宋体" w:hAnsi="宋体" w:cs="宋体"/>
          <w:kern w:val="0"/>
          <w:sz w:val="24"/>
        </w:rPr>
        <w:t>长江黄金1、2、3、5、6、7、8号游轮装饰维修工程整个项目施工图范围内的建筑、安装、弱电、空调通风、精装修等工程量清单及招标控制价编制。</w:t>
      </w:r>
    </w:p>
    <w:p>
      <w:pPr>
        <w:spacing w:line="360" w:lineRule="auto"/>
        <w:rPr>
          <w:rFonts w:ascii="宋体" w:hAnsi="宋体"/>
          <w:sz w:val="24"/>
        </w:rPr>
      </w:pPr>
      <w:r>
        <w:rPr>
          <w:rFonts w:ascii="宋体" w:hAnsi="宋体"/>
          <w:sz w:val="24"/>
        </w:rPr>
        <w:t>　　</w:t>
      </w:r>
      <w:r>
        <w:rPr>
          <w:rFonts w:hint="eastAsia" w:ascii="宋体" w:hAnsi="宋体"/>
          <w:sz w:val="24"/>
        </w:rPr>
        <w:t>咨询报告书通过委托者提供的资料和咨询人的现场勘察情况，能全面反映招标项目的真实造价。</w:t>
      </w:r>
    </w:p>
    <w:p>
      <w:pPr>
        <w:spacing w:line="360" w:lineRule="auto"/>
        <w:rPr>
          <w:rFonts w:ascii="宋体" w:hAnsi="宋体"/>
          <w:sz w:val="24"/>
        </w:rPr>
      </w:pPr>
      <w:r>
        <w:rPr>
          <w:rFonts w:ascii="宋体" w:hAnsi="宋体"/>
          <w:sz w:val="24"/>
        </w:rPr>
        <w:t>　　</w:t>
      </w:r>
      <w:r>
        <w:rPr>
          <w:rFonts w:ascii="宋体" w:hAnsi="宋体"/>
          <w:b/>
          <w:sz w:val="24"/>
        </w:rPr>
        <w:t>第</w:t>
      </w:r>
      <w:r>
        <w:rPr>
          <w:rFonts w:hint="eastAsia" w:ascii="宋体" w:hAnsi="宋体"/>
          <w:b/>
          <w:sz w:val="24"/>
        </w:rPr>
        <w:t>三</w:t>
      </w:r>
      <w:r>
        <w:rPr>
          <w:rFonts w:ascii="宋体" w:hAnsi="宋体"/>
          <w:b/>
          <w:sz w:val="24"/>
        </w:rPr>
        <w:t>条</w:t>
      </w:r>
      <w:r>
        <w:rPr>
          <w:rFonts w:ascii="宋体" w:hAnsi="宋体"/>
          <w:sz w:val="24"/>
        </w:rPr>
        <w:t>　</w:t>
      </w:r>
      <w:r>
        <w:rPr>
          <w:rFonts w:hint="eastAsia" w:ascii="宋体" w:hAnsi="宋体"/>
          <w:sz w:val="24"/>
        </w:rPr>
        <w:t>双方约定的委托人应提供的建设工程造价咨询材料及提供时间：</w:t>
      </w:r>
      <w:r>
        <w:rPr>
          <w:rFonts w:ascii="宋体" w:hAnsi="宋体"/>
          <w:sz w:val="24"/>
          <w:u w:val="single"/>
        </w:rPr>
        <w:t>委托人</w:t>
      </w:r>
      <w:r>
        <w:rPr>
          <w:rFonts w:hint="eastAsia" w:ascii="宋体" w:hAnsi="宋体"/>
          <w:sz w:val="24"/>
          <w:u w:val="single"/>
        </w:rPr>
        <w:t>、代建人</w:t>
      </w:r>
      <w:r>
        <w:rPr>
          <w:rFonts w:ascii="宋体" w:hAnsi="宋体"/>
          <w:sz w:val="24"/>
          <w:u w:val="single"/>
        </w:rPr>
        <w:t>在</w:t>
      </w:r>
      <w:r>
        <w:rPr>
          <w:rFonts w:hint="eastAsia" w:ascii="宋体" w:hAnsi="宋体"/>
          <w:sz w:val="24"/>
          <w:u w:val="single"/>
        </w:rPr>
        <w:t>本合同约定的咨询业务起止</w:t>
      </w:r>
      <w:r>
        <w:rPr>
          <w:rFonts w:ascii="宋体" w:hAnsi="宋体"/>
          <w:sz w:val="24"/>
          <w:u w:val="single"/>
        </w:rPr>
        <w:t>时间内，免费向咨询人提供与本项目咨询业务有关的资料</w:t>
      </w:r>
      <w:r>
        <w:rPr>
          <w:rFonts w:ascii="宋体" w:hAnsi="宋体"/>
          <w:sz w:val="24"/>
        </w:rPr>
        <w:t>。</w:t>
      </w:r>
    </w:p>
    <w:p>
      <w:pPr>
        <w:spacing w:line="360" w:lineRule="auto"/>
        <w:rPr>
          <w:rFonts w:ascii="宋体" w:hAnsi="宋体"/>
          <w:sz w:val="24"/>
        </w:rPr>
      </w:pPr>
      <w:r>
        <w:rPr>
          <w:rFonts w:ascii="宋体" w:hAnsi="宋体"/>
          <w:sz w:val="24"/>
        </w:rPr>
        <w:t>　　</w:t>
      </w:r>
      <w:r>
        <w:rPr>
          <w:rFonts w:ascii="宋体" w:hAnsi="宋体"/>
          <w:b/>
          <w:sz w:val="24"/>
        </w:rPr>
        <w:t>第</w:t>
      </w:r>
      <w:r>
        <w:rPr>
          <w:rFonts w:hint="eastAsia" w:ascii="宋体" w:hAnsi="宋体"/>
          <w:b/>
          <w:sz w:val="24"/>
        </w:rPr>
        <w:t>四</w:t>
      </w:r>
      <w:r>
        <w:rPr>
          <w:rFonts w:ascii="宋体" w:hAnsi="宋体"/>
          <w:b/>
          <w:sz w:val="24"/>
        </w:rPr>
        <w:t>条</w:t>
      </w:r>
      <w:r>
        <w:rPr>
          <w:rFonts w:ascii="宋体" w:hAnsi="宋体"/>
          <w:sz w:val="24"/>
        </w:rPr>
        <w:t>　委托人</w:t>
      </w:r>
      <w:r>
        <w:rPr>
          <w:rFonts w:hint="eastAsia" w:ascii="宋体" w:hAnsi="宋体"/>
          <w:sz w:val="24"/>
        </w:rPr>
        <w:t>、代建人</w:t>
      </w:r>
      <w:r>
        <w:rPr>
          <w:rFonts w:ascii="宋体" w:hAnsi="宋体"/>
          <w:sz w:val="24"/>
        </w:rPr>
        <w:t>应在</w:t>
      </w:r>
      <w:r>
        <w:rPr>
          <w:rFonts w:hint="eastAsia" w:ascii="宋体" w:hAnsi="宋体"/>
          <w:b/>
          <w:sz w:val="24"/>
          <w:u w:val="single"/>
        </w:rPr>
        <w:t>2</w:t>
      </w:r>
      <w:r>
        <w:rPr>
          <w:rFonts w:ascii="宋体" w:hAnsi="宋体"/>
          <w:sz w:val="24"/>
        </w:rPr>
        <w:t>日内对咨询人书面提交并要求做出答复的事宜做出书面答复。</w:t>
      </w:r>
    </w:p>
    <w:p>
      <w:pPr>
        <w:spacing w:line="360" w:lineRule="auto"/>
        <w:ind w:firstLine="472" w:firstLineChars="196"/>
        <w:rPr>
          <w:rFonts w:ascii="宋体" w:hAnsi="宋体"/>
          <w:sz w:val="24"/>
        </w:rPr>
      </w:pPr>
      <w:r>
        <w:rPr>
          <w:rFonts w:ascii="宋体" w:hAnsi="宋体"/>
          <w:b/>
          <w:sz w:val="24"/>
        </w:rPr>
        <w:t>第</w:t>
      </w:r>
      <w:r>
        <w:rPr>
          <w:rFonts w:hint="eastAsia" w:ascii="宋体" w:hAnsi="宋体"/>
          <w:b/>
          <w:sz w:val="24"/>
        </w:rPr>
        <w:t>五</w:t>
      </w:r>
      <w:r>
        <w:rPr>
          <w:rFonts w:ascii="宋体" w:hAnsi="宋体"/>
          <w:b/>
          <w:sz w:val="24"/>
        </w:rPr>
        <w:t>条</w:t>
      </w:r>
      <w:r>
        <w:rPr>
          <w:rFonts w:ascii="宋体" w:hAnsi="宋体"/>
          <w:sz w:val="24"/>
        </w:rPr>
        <w:t>　</w:t>
      </w:r>
      <w:r>
        <w:rPr>
          <w:rFonts w:hint="eastAsia" w:ascii="宋体" w:hAnsi="宋体"/>
          <w:sz w:val="24"/>
        </w:rPr>
        <w:t>咨询人在咨询过程中，有到工程现场勘察的权利，其所产生的相关费用由咨询人自理。在现场勘察过程中应注意安全，如果发生人身伤亡、财物或其他损失，均由咨询人自行负责。</w:t>
      </w:r>
    </w:p>
    <w:p>
      <w:pPr>
        <w:widowControl/>
        <w:spacing w:line="480" w:lineRule="auto"/>
        <w:ind w:firstLine="532" w:firstLineChars="221"/>
        <w:rPr>
          <w:rFonts w:ascii="宋体" w:hAnsi="宋体"/>
          <w:sz w:val="24"/>
        </w:rPr>
      </w:pPr>
      <w:r>
        <w:rPr>
          <w:rFonts w:hint="eastAsia" w:ascii="宋体" w:hAnsi="宋体"/>
          <w:b/>
          <w:sz w:val="24"/>
        </w:rPr>
        <w:t>第六条</w:t>
      </w:r>
      <w:r>
        <w:rPr>
          <w:rFonts w:hint="eastAsia" w:ascii="宋体" w:hAnsi="宋体"/>
          <w:sz w:val="24"/>
        </w:rPr>
        <w:t xml:space="preserve"> 咨询人在收到委托人提供的建设工程造价咨询材料后30日内完成所有咨询业务并提交所有咨询成果(其间不包含委托人对图纸答疑耽误时间和审查合格的图纸有重大调整的清单调整时间)并取得委托人、代建人的认可确认，否则，每拖延一天，处以违约金</w:t>
      </w:r>
      <w:r>
        <w:rPr>
          <w:rFonts w:hint="eastAsia" w:ascii="宋体" w:hAnsi="宋体"/>
          <w:sz w:val="24"/>
          <w:u w:val="single"/>
        </w:rPr>
        <w:t>500</w:t>
      </w:r>
      <w:r>
        <w:rPr>
          <w:rFonts w:hint="eastAsia" w:ascii="宋体" w:hAnsi="宋体"/>
          <w:sz w:val="24"/>
        </w:rPr>
        <w:t>元，逾期超过</w:t>
      </w:r>
      <w:r>
        <w:rPr>
          <w:rFonts w:hint="eastAsia" w:ascii="宋体" w:hAnsi="宋体"/>
          <w:sz w:val="24"/>
          <w:u w:val="single"/>
        </w:rPr>
        <w:t>7</w:t>
      </w:r>
      <w:r>
        <w:rPr>
          <w:rFonts w:hint="eastAsia" w:ascii="宋体" w:hAnsi="宋体"/>
          <w:sz w:val="24"/>
        </w:rPr>
        <w:t>日的，委托人有权解除本合同，咨询人应当向委托人支付违约金</w:t>
      </w:r>
      <w:r>
        <w:rPr>
          <w:rFonts w:hint="eastAsia" w:ascii="宋体" w:hAnsi="宋体"/>
          <w:sz w:val="24"/>
          <w:u w:val="single"/>
        </w:rPr>
        <w:t>贰万元</w:t>
      </w:r>
      <w:r>
        <w:rPr>
          <w:rFonts w:hint="eastAsia" w:ascii="宋体" w:hAnsi="宋体"/>
          <w:sz w:val="24"/>
        </w:rPr>
        <w:t>，并赔偿因此给委托人造成的损失。</w:t>
      </w:r>
    </w:p>
    <w:p>
      <w:pPr>
        <w:widowControl/>
        <w:spacing w:line="480" w:lineRule="auto"/>
        <w:ind w:firstLine="532" w:firstLineChars="221"/>
        <w:rPr>
          <w:rFonts w:ascii="宋体" w:hAnsi="宋体"/>
          <w:sz w:val="24"/>
        </w:rPr>
      </w:pPr>
      <w:r>
        <w:rPr>
          <w:rFonts w:hint="eastAsia" w:ascii="宋体" w:hAnsi="宋体"/>
          <w:b/>
          <w:sz w:val="24"/>
        </w:rPr>
        <w:t>第七条</w:t>
      </w:r>
      <w:r>
        <w:rPr>
          <w:rFonts w:hint="eastAsia" w:ascii="宋体" w:hAnsi="宋体"/>
          <w:sz w:val="24"/>
        </w:rPr>
        <w:t xml:space="preserve"> 咨询人在合同履行过程中，不得终止咨询业务，否则处以违约金</w:t>
      </w:r>
      <w:r>
        <w:rPr>
          <w:rFonts w:hint="eastAsia" w:ascii="宋体" w:hAnsi="宋体"/>
          <w:sz w:val="24"/>
          <w:u w:val="single"/>
        </w:rPr>
        <w:t xml:space="preserve"> 5</w:t>
      </w:r>
      <w:r>
        <w:rPr>
          <w:rFonts w:hint="eastAsia" w:ascii="宋体" w:hAnsi="宋体"/>
          <w:sz w:val="24"/>
        </w:rPr>
        <w:t>万元，该违约金不足以弥补委托人、代建人损失的，有权向咨询人追偿。</w:t>
      </w:r>
    </w:p>
    <w:p>
      <w:pPr>
        <w:spacing w:line="400" w:lineRule="exact"/>
        <w:ind w:firstLine="482" w:firstLineChars="200"/>
        <w:rPr>
          <w:rFonts w:ascii="宋体" w:hAnsi="宋体"/>
          <w:sz w:val="24"/>
        </w:rPr>
      </w:pPr>
      <w:r>
        <w:rPr>
          <w:rFonts w:hint="eastAsia" w:ascii="宋体" w:hAnsi="宋体"/>
          <w:b/>
          <w:sz w:val="24"/>
        </w:rPr>
        <w:t>第八条</w:t>
      </w:r>
      <w:r>
        <w:rPr>
          <w:rFonts w:hint="eastAsia" w:ascii="宋体" w:hAnsi="宋体"/>
          <w:sz w:val="24"/>
        </w:rPr>
        <w:t xml:space="preserve"> 招标工程量清单及招标限价编制完成后，咨询人需分阶段向委托人、代建人提交以下文件：</w:t>
      </w:r>
    </w:p>
    <w:p>
      <w:pPr>
        <w:spacing w:line="400" w:lineRule="exact"/>
        <w:rPr>
          <w:sz w:val="24"/>
        </w:rPr>
      </w:pPr>
      <w:r>
        <w:rPr>
          <w:rFonts w:hint="eastAsia"/>
          <w:sz w:val="24"/>
        </w:rPr>
        <w:t xml:space="preserve">    1）施工图工程量清单编制完成后提交如下文件：</w:t>
      </w:r>
    </w:p>
    <w:p>
      <w:pPr>
        <w:widowControl/>
        <w:spacing w:line="480" w:lineRule="auto"/>
        <w:ind w:firstLine="360" w:firstLineChars="150"/>
        <w:rPr>
          <w:rFonts w:ascii="宋体" w:hAnsi="宋体"/>
          <w:sz w:val="24"/>
        </w:rPr>
      </w:pPr>
      <w:r>
        <w:rPr>
          <w:rFonts w:hint="eastAsia" w:ascii="宋体" w:hAnsi="宋体"/>
          <w:sz w:val="24"/>
        </w:rPr>
        <w:t>1、工程量清单编制说明；</w:t>
      </w:r>
    </w:p>
    <w:p>
      <w:pPr>
        <w:widowControl/>
        <w:spacing w:line="480" w:lineRule="auto"/>
        <w:rPr>
          <w:rFonts w:ascii="宋体" w:hAnsi="宋体"/>
          <w:sz w:val="24"/>
        </w:rPr>
      </w:pPr>
      <w:r>
        <w:rPr>
          <w:rFonts w:hint="eastAsia" w:ascii="宋体" w:hAnsi="宋体"/>
          <w:sz w:val="24"/>
        </w:rPr>
        <w:t xml:space="preserve">   2、施工图（含招标阶段图纸答疑）工程量清单；</w:t>
      </w:r>
    </w:p>
    <w:p>
      <w:pPr>
        <w:widowControl/>
        <w:spacing w:line="480" w:lineRule="auto"/>
        <w:ind w:firstLine="360" w:firstLineChars="150"/>
        <w:rPr>
          <w:rFonts w:ascii="宋体" w:hAnsi="宋体"/>
          <w:sz w:val="24"/>
        </w:rPr>
      </w:pPr>
      <w:r>
        <w:rPr>
          <w:rFonts w:hint="eastAsia" w:ascii="宋体" w:hAnsi="宋体"/>
          <w:sz w:val="24"/>
        </w:rPr>
        <w:t>3、完整工程量计算书（包括手算的电子表格计算书、正版广联达软件计算的钢筋算量、图形算量）；</w:t>
      </w:r>
    </w:p>
    <w:p>
      <w:pPr>
        <w:widowControl/>
        <w:spacing w:line="480" w:lineRule="auto"/>
        <w:rPr>
          <w:rFonts w:ascii="宋体" w:hAnsi="宋体"/>
          <w:sz w:val="24"/>
        </w:rPr>
      </w:pPr>
      <w:r>
        <w:rPr>
          <w:rFonts w:hint="eastAsia" w:ascii="宋体" w:hAnsi="宋体"/>
          <w:sz w:val="24"/>
        </w:rPr>
        <w:t xml:space="preserve">   4、完整的建筑面积计算书；</w:t>
      </w:r>
    </w:p>
    <w:p>
      <w:pPr>
        <w:widowControl/>
        <w:spacing w:line="480" w:lineRule="auto"/>
        <w:ind w:firstLine="360" w:firstLineChars="150"/>
        <w:rPr>
          <w:rFonts w:ascii="宋体" w:hAnsi="宋体"/>
          <w:sz w:val="24"/>
        </w:rPr>
      </w:pPr>
      <w:r>
        <w:rPr>
          <w:rFonts w:hint="eastAsia" w:ascii="宋体" w:hAnsi="宋体"/>
          <w:sz w:val="24"/>
        </w:rPr>
        <w:t>5、工程量清单对应的招标控制价(正版广联达软件套价)；</w:t>
      </w:r>
    </w:p>
    <w:p>
      <w:pPr>
        <w:widowControl/>
        <w:spacing w:line="480" w:lineRule="auto"/>
        <w:rPr>
          <w:rFonts w:ascii="宋体" w:hAnsi="宋体"/>
          <w:sz w:val="24"/>
        </w:rPr>
      </w:pPr>
      <w:r>
        <w:rPr>
          <w:rFonts w:hint="eastAsia" w:ascii="宋体" w:hAnsi="宋体"/>
          <w:sz w:val="24"/>
        </w:rPr>
        <w:t xml:space="preserve">   6、上述文件的电子版本及文书版本。</w:t>
      </w:r>
    </w:p>
    <w:p>
      <w:pPr>
        <w:widowControl/>
        <w:spacing w:line="480" w:lineRule="auto"/>
        <w:ind w:firstLine="360" w:firstLineChars="150"/>
        <w:rPr>
          <w:rFonts w:ascii="宋体" w:hAnsi="宋体"/>
          <w:sz w:val="24"/>
        </w:rPr>
      </w:pPr>
      <w:r>
        <w:rPr>
          <w:rFonts w:hint="eastAsia" w:ascii="宋体" w:hAnsi="宋体"/>
          <w:sz w:val="24"/>
        </w:rPr>
        <w:t>2）与限价编制单位核对完成后提交如下文件（如该项目需进行核对）：</w:t>
      </w:r>
    </w:p>
    <w:p>
      <w:pPr>
        <w:widowControl/>
        <w:spacing w:line="480" w:lineRule="auto"/>
        <w:ind w:firstLine="360" w:firstLineChars="150"/>
        <w:rPr>
          <w:rFonts w:ascii="宋体" w:hAnsi="宋体"/>
          <w:sz w:val="24"/>
        </w:rPr>
      </w:pPr>
      <w:r>
        <w:rPr>
          <w:rFonts w:hint="eastAsia" w:ascii="宋体" w:hAnsi="宋体"/>
          <w:sz w:val="24"/>
        </w:rPr>
        <w:t>1、施工图工程量清单核对调整差异说明；</w:t>
      </w:r>
    </w:p>
    <w:p>
      <w:pPr>
        <w:widowControl/>
        <w:spacing w:line="480" w:lineRule="auto"/>
        <w:rPr>
          <w:rFonts w:ascii="宋体" w:hAnsi="宋体"/>
          <w:sz w:val="24"/>
        </w:rPr>
      </w:pPr>
      <w:r>
        <w:rPr>
          <w:rFonts w:hint="eastAsia" w:ascii="宋体" w:hAnsi="宋体"/>
          <w:sz w:val="24"/>
        </w:rPr>
        <w:t xml:space="preserve">   2、核对调整工程量清单；</w:t>
      </w:r>
    </w:p>
    <w:p>
      <w:pPr>
        <w:widowControl/>
        <w:spacing w:line="480" w:lineRule="auto"/>
        <w:ind w:firstLine="360" w:firstLineChars="150"/>
        <w:rPr>
          <w:rFonts w:ascii="宋体" w:hAnsi="宋体"/>
          <w:sz w:val="24"/>
        </w:rPr>
      </w:pPr>
      <w:r>
        <w:rPr>
          <w:rFonts w:hint="eastAsia" w:ascii="宋体" w:hAnsi="宋体"/>
          <w:sz w:val="24"/>
        </w:rPr>
        <w:t>3、含核对调整工程量的施工图工程量清单（以下称最终工程量清单）；</w:t>
      </w:r>
    </w:p>
    <w:p>
      <w:pPr>
        <w:widowControl/>
        <w:spacing w:line="480" w:lineRule="auto"/>
        <w:rPr>
          <w:rFonts w:ascii="宋体" w:hAnsi="宋体"/>
          <w:sz w:val="24"/>
        </w:rPr>
      </w:pPr>
      <w:r>
        <w:rPr>
          <w:rFonts w:hint="eastAsia" w:ascii="宋体" w:hAnsi="宋体"/>
          <w:sz w:val="24"/>
        </w:rPr>
        <w:t xml:space="preserve">   4、最终工程量清单对应的清单招标控制价(正版广联达软件套价)；</w:t>
      </w:r>
    </w:p>
    <w:p>
      <w:pPr>
        <w:widowControl/>
        <w:spacing w:line="480" w:lineRule="auto"/>
        <w:ind w:firstLine="360" w:firstLineChars="150"/>
        <w:rPr>
          <w:rFonts w:ascii="宋体" w:hAnsi="宋体"/>
          <w:sz w:val="24"/>
        </w:rPr>
      </w:pPr>
      <w:r>
        <w:rPr>
          <w:rFonts w:hint="eastAsia" w:ascii="宋体" w:hAnsi="宋体"/>
          <w:sz w:val="24"/>
        </w:rPr>
        <w:t>5、完整的工程量计算书（包括手算的电子表格计算书、正版广联达软件计算的钢筋算量、图形算量）；</w:t>
      </w:r>
    </w:p>
    <w:p>
      <w:pPr>
        <w:widowControl/>
        <w:spacing w:line="480" w:lineRule="auto"/>
        <w:rPr>
          <w:rFonts w:ascii="宋体" w:hAnsi="宋体"/>
          <w:sz w:val="24"/>
        </w:rPr>
      </w:pPr>
      <w:r>
        <w:rPr>
          <w:rFonts w:hint="eastAsia" w:ascii="宋体" w:hAnsi="宋体"/>
          <w:sz w:val="24"/>
        </w:rPr>
        <w:t xml:space="preserve">   6、完整的建筑面积计算书（建筑面积若有调整）；</w:t>
      </w:r>
    </w:p>
    <w:p>
      <w:pPr>
        <w:widowControl/>
        <w:spacing w:line="480" w:lineRule="auto"/>
        <w:ind w:firstLine="360" w:firstLineChars="150"/>
        <w:rPr>
          <w:rFonts w:ascii="宋体" w:hAnsi="宋体"/>
          <w:sz w:val="24"/>
        </w:rPr>
      </w:pPr>
      <w:r>
        <w:rPr>
          <w:rFonts w:hint="eastAsia" w:ascii="宋体" w:hAnsi="宋体"/>
          <w:sz w:val="24"/>
        </w:rPr>
        <w:t>7、上述文件的电子版本及文书版本。</w:t>
      </w:r>
    </w:p>
    <w:p>
      <w:pPr>
        <w:widowControl/>
        <w:spacing w:line="480" w:lineRule="auto"/>
        <w:ind w:firstLine="360" w:firstLineChars="150"/>
        <w:rPr>
          <w:rFonts w:ascii="宋体" w:hAnsi="宋体"/>
          <w:sz w:val="24"/>
        </w:rPr>
      </w:pPr>
      <w:r>
        <w:rPr>
          <w:rFonts w:hint="eastAsia" w:ascii="宋体" w:hAnsi="宋体"/>
          <w:sz w:val="24"/>
        </w:rPr>
        <w:t>3） 合同范围内的招标控制价咨询报告书肆套、招标工程量清单肆套。以及按旅投地产公司合同预算部要求填写的项目指标分析表格。</w:t>
      </w:r>
    </w:p>
    <w:p>
      <w:pPr>
        <w:widowControl/>
        <w:spacing w:line="480" w:lineRule="auto"/>
        <w:ind w:firstLine="361" w:firstLineChars="150"/>
        <w:rPr>
          <w:rFonts w:ascii="宋体" w:hAnsi="宋体"/>
          <w:sz w:val="24"/>
        </w:rPr>
      </w:pPr>
      <w:r>
        <w:rPr>
          <w:rFonts w:hint="eastAsia" w:ascii="宋体" w:hAnsi="宋体"/>
          <w:b/>
          <w:sz w:val="24"/>
        </w:rPr>
        <w:t>第九条</w:t>
      </w:r>
      <w:r>
        <w:rPr>
          <w:rFonts w:hint="eastAsia" w:ascii="宋体" w:hAnsi="宋体"/>
          <w:sz w:val="24"/>
        </w:rPr>
        <w:t xml:space="preserve"> 咨询人提交的工作成果需按委托人、代建人要求进行，封面须有各专业及项目经理的签名并加盖公司印章和注册造价工程师执业专用章。</w:t>
      </w:r>
    </w:p>
    <w:p>
      <w:pPr>
        <w:widowControl/>
        <w:spacing w:line="480" w:lineRule="auto"/>
        <w:ind w:firstLine="361" w:firstLineChars="150"/>
        <w:rPr>
          <w:rFonts w:ascii="宋体" w:hAnsi="宋体"/>
          <w:sz w:val="24"/>
        </w:rPr>
      </w:pPr>
      <w:r>
        <w:rPr>
          <w:rFonts w:hint="eastAsia" w:ascii="宋体" w:hAnsi="宋体"/>
          <w:b/>
          <w:sz w:val="24"/>
        </w:rPr>
        <w:t>第十条</w:t>
      </w:r>
      <w:r>
        <w:rPr>
          <w:rFonts w:hint="eastAsia" w:ascii="宋体" w:hAnsi="宋体"/>
          <w:sz w:val="24"/>
        </w:rPr>
        <w:t xml:space="preserve"> 工程量清单编制完成后，根据自己的工作经验向委托人、代建人提出有关本项目的造价及工程管理等方面的建设性意见。</w:t>
      </w:r>
      <w:bookmarkStart w:id="0" w:name="_Toc128495778"/>
    </w:p>
    <w:p>
      <w:pPr>
        <w:widowControl/>
        <w:spacing w:line="480" w:lineRule="auto"/>
        <w:ind w:firstLine="361" w:firstLineChars="150"/>
        <w:rPr>
          <w:rFonts w:ascii="宋体" w:hAnsi="宋体"/>
          <w:sz w:val="24"/>
        </w:rPr>
      </w:pPr>
      <w:r>
        <w:rPr>
          <w:rFonts w:hint="eastAsia" w:ascii="宋体" w:hAnsi="宋体"/>
          <w:b/>
          <w:sz w:val="24"/>
        </w:rPr>
        <w:t>第十一条</w:t>
      </w:r>
      <w:r>
        <w:rPr>
          <w:rFonts w:hint="eastAsia" w:ascii="宋体" w:hAnsi="宋体"/>
          <w:sz w:val="24"/>
        </w:rPr>
        <w:t xml:space="preserve"> 编制原则和依据</w:t>
      </w:r>
      <w:bookmarkEnd w:id="0"/>
    </w:p>
    <w:p>
      <w:pPr>
        <w:widowControl/>
        <w:spacing w:line="480" w:lineRule="auto"/>
        <w:ind w:firstLine="360" w:firstLineChars="150"/>
        <w:rPr>
          <w:rFonts w:ascii="宋体" w:hAnsi="宋体"/>
          <w:sz w:val="24"/>
        </w:rPr>
      </w:pPr>
      <w:r>
        <w:rPr>
          <w:rFonts w:hint="eastAsia" w:ascii="宋体" w:hAnsi="宋体"/>
          <w:sz w:val="24"/>
        </w:rPr>
        <w:t>1、工程资料：招标施工图</w:t>
      </w:r>
    </w:p>
    <w:p>
      <w:pPr>
        <w:widowControl/>
        <w:spacing w:line="480" w:lineRule="auto"/>
        <w:ind w:firstLine="360" w:firstLineChars="150"/>
        <w:rPr>
          <w:rFonts w:ascii="宋体" w:hAnsi="宋体"/>
          <w:sz w:val="24"/>
        </w:rPr>
      </w:pPr>
      <w:r>
        <w:rPr>
          <w:rFonts w:hint="eastAsia" w:ascii="宋体" w:hAnsi="宋体"/>
          <w:sz w:val="24"/>
        </w:rPr>
        <w:t>2、计价依据：根据《建设工程工程量清单计价规范》（GB 50500-2013）、《重庆市建筑工程计价定额》（CQJZDE-2008）、《重庆市装饰工程计价定额》（CQZSDE-2008）、《重庆市市政工程计价定额》（CQSZDE-2008）、《重庆市安装工程计价定额》（CQAZDE-2008）、《重庆市仿古建筑及园林工程计价定额》（CQYLDE-2008）、《重庆市房屋修缮工程计价定额》（CQXSDE-2008）及《重庆市建设工程费用定额》（CQFYDE-2008）、《重庆市建筑安装工程节能计价定额》（CQJNGZ－2009）、《重庆市建设工程工程量计算规则》（CQJLGZ—2013）、《重庆市建设工程工程量清单计价规则》（CQQDGZ-2013）、招标施工图、招标文件及《重庆市工程造价信息》进行工程量清单及招标控制价审核。</w:t>
      </w:r>
    </w:p>
    <w:p>
      <w:pPr>
        <w:widowControl/>
        <w:spacing w:line="480" w:lineRule="auto"/>
        <w:ind w:firstLine="360" w:firstLineChars="150"/>
        <w:rPr>
          <w:rFonts w:ascii="宋体" w:hAnsi="宋体"/>
          <w:sz w:val="24"/>
        </w:rPr>
      </w:pPr>
      <w:r>
        <w:rPr>
          <w:rFonts w:hint="eastAsia" w:ascii="宋体" w:hAnsi="宋体"/>
          <w:sz w:val="24"/>
        </w:rPr>
        <w:t>其他：以编制要求为准。</w:t>
      </w:r>
      <w:bookmarkStart w:id="1" w:name="_Toc128495780"/>
    </w:p>
    <w:p>
      <w:pPr>
        <w:widowControl/>
        <w:spacing w:line="480" w:lineRule="auto"/>
        <w:ind w:firstLine="361" w:firstLineChars="150"/>
        <w:rPr>
          <w:rFonts w:ascii="宋体" w:hAnsi="宋体"/>
          <w:sz w:val="24"/>
        </w:rPr>
      </w:pPr>
      <w:r>
        <w:rPr>
          <w:rFonts w:hint="eastAsia" w:ascii="宋体" w:hAnsi="宋体"/>
          <w:b/>
          <w:sz w:val="24"/>
        </w:rPr>
        <w:t>第十二条</w:t>
      </w:r>
      <w:r>
        <w:rPr>
          <w:rFonts w:hint="eastAsia" w:ascii="宋体" w:hAnsi="宋体"/>
          <w:sz w:val="24"/>
        </w:rPr>
        <w:t xml:space="preserve"> 质量要求</w:t>
      </w:r>
      <w:bookmarkEnd w:id="1"/>
    </w:p>
    <w:p>
      <w:pPr>
        <w:widowControl/>
        <w:spacing w:line="480" w:lineRule="auto"/>
        <w:ind w:firstLine="360" w:firstLineChars="150"/>
        <w:rPr>
          <w:rFonts w:ascii="宋体" w:hAnsi="宋体"/>
          <w:sz w:val="24"/>
        </w:rPr>
      </w:pPr>
      <w:r>
        <w:rPr>
          <w:rFonts w:hint="eastAsia" w:ascii="宋体" w:hAnsi="宋体"/>
          <w:sz w:val="24"/>
        </w:rPr>
        <w:t>1、咨询人编制的工程量清单应全面反映施工图包含的内容，清单列项正确，不得多项、漏项，项目名称正确、项目特征描述清楚、完整、正确，工程量计算准确。单体楼每一分项工程（每一补充项清单视为一个分项工程）工程量平均误差率≤2%〔统计该分项工程各项清单工程量误差率的平均值，分项工程的含义为工程量清单第四级编码所指分项工程，误差率计算、统计按绝对值，误差率计算公式=∣（咨询人编制清单中工程量-委托项目实施进度确认清单中工程量）∣/委托项目实施进度确认清单中工程量（%）。误差率计算值为保留两位小数（例如：1.01%）。平均误差率计算公式=该分项工程中各项清单工程量误差率之和/该分项工程中清单项的个数，如果分项工程中只有一个清单项，则分母为1。例如：直行墙分项工程共有6个清单项，误差率分别为a%、b%、c%、d%、e%、f%,则：直行墙分项工程平均误差率=（a%+b%+c%+d%+e%+f%）/6。另外：涂料分项工程按内墙、顶棚、外墙分别进行统计，按三个分项计。以上数据的统计以委托项目实施进度确认的工程量清单为依据。</w:t>
      </w:r>
    </w:p>
    <w:p>
      <w:pPr>
        <w:widowControl/>
        <w:spacing w:line="480" w:lineRule="auto"/>
        <w:ind w:firstLine="360" w:firstLineChars="150"/>
        <w:rPr>
          <w:rFonts w:ascii="宋体" w:hAnsi="宋体"/>
          <w:sz w:val="24"/>
        </w:rPr>
      </w:pPr>
      <w:r>
        <w:rPr>
          <w:rFonts w:hint="eastAsia" w:ascii="宋体" w:hAnsi="宋体"/>
          <w:sz w:val="24"/>
        </w:rPr>
        <w:t>咨询人提供的工程量清单及招标控制价应根据政府相关文件、委托人提供的资料并结合市场情况合理确定，其中招标控制价要满足工程造价管理部门的要求。</w:t>
      </w:r>
    </w:p>
    <w:p>
      <w:pPr>
        <w:widowControl/>
        <w:spacing w:line="480" w:lineRule="auto"/>
        <w:ind w:firstLine="360" w:firstLineChars="150"/>
        <w:rPr>
          <w:rFonts w:ascii="宋体" w:hAnsi="宋体"/>
          <w:sz w:val="24"/>
        </w:rPr>
      </w:pPr>
      <w:r>
        <w:rPr>
          <w:rFonts w:hint="eastAsia" w:ascii="宋体" w:hAnsi="宋体"/>
          <w:sz w:val="24"/>
        </w:rPr>
        <w:t>咨询人所提交的工作成果必须内容达到委托人的要求，文字清晰整齐，手工计算必须条理清楚、步骤清晰，有较强的可复查性。</w:t>
      </w:r>
    </w:p>
    <w:p>
      <w:pPr>
        <w:widowControl/>
        <w:spacing w:line="480" w:lineRule="auto"/>
        <w:ind w:firstLine="360" w:firstLineChars="150"/>
        <w:rPr>
          <w:rFonts w:ascii="宋体" w:hAnsi="宋体"/>
          <w:sz w:val="24"/>
        </w:rPr>
      </w:pPr>
      <w:r>
        <w:rPr>
          <w:rFonts w:hint="eastAsia" w:ascii="宋体" w:hAnsi="宋体"/>
          <w:sz w:val="24"/>
        </w:rPr>
        <w:t>咨询人未按合同条款、委托人、代建人的要求执行，或工作成果质量等达不到委托人、代建人的要求，咨询人须及时进行整改、修正，直至符合委托人、代建人要求验收为止且最后一次修正稿的提交日为咨询人提交工作成果日。</w:t>
      </w:r>
    </w:p>
    <w:p>
      <w:pPr>
        <w:widowControl/>
        <w:spacing w:line="480" w:lineRule="auto"/>
        <w:ind w:firstLine="361" w:firstLineChars="150"/>
        <w:rPr>
          <w:rFonts w:ascii="宋体" w:hAnsi="宋体"/>
          <w:sz w:val="24"/>
        </w:rPr>
      </w:pPr>
      <w:r>
        <w:rPr>
          <w:rFonts w:hint="eastAsia" w:ascii="宋体" w:hAnsi="宋体"/>
          <w:b/>
          <w:sz w:val="24"/>
        </w:rPr>
        <w:t>第十三条</w:t>
      </w:r>
      <w:r>
        <w:rPr>
          <w:rFonts w:hint="eastAsia" w:ascii="宋体" w:hAnsi="宋体"/>
          <w:sz w:val="24"/>
        </w:rPr>
        <w:t xml:space="preserve"> 委托人、代建人在收到咨询人提供的咨询成果后，应在7天内审查完毕并提出审查意见，咨询人应根据审查意见在2天内对咨询成果调整完毕，并且不得调整咨询费。</w:t>
      </w:r>
    </w:p>
    <w:p>
      <w:pPr>
        <w:spacing w:line="360" w:lineRule="auto"/>
        <w:rPr>
          <w:rFonts w:ascii="宋体" w:hAnsi="宋体"/>
          <w:sz w:val="24"/>
        </w:rPr>
      </w:pPr>
      <w:r>
        <w:rPr>
          <w:rFonts w:ascii="宋体" w:hAnsi="宋体"/>
          <w:sz w:val="24"/>
        </w:rPr>
        <w:t>　</w:t>
      </w:r>
      <w:r>
        <w:rPr>
          <w:rFonts w:ascii="宋体" w:hAnsi="宋体"/>
          <w:b/>
          <w:sz w:val="24"/>
        </w:rPr>
        <w:t>第</w:t>
      </w:r>
      <w:r>
        <w:rPr>
          <w:rFonts w:hint="eastAsia" w:ascii="宋体" w:hAnsi="宋体"/>
          <w:b/>
          <w:sz w:val="24"/>
        </w:rPr>
        <w:t>十四</w:t>
      </w:r>
      <w:r>
        <w:rPr>
          <w:rFonts w:ascii="宋体" w:hAnsi="宋体"/>
          <w:b/>
          <w:sz w:val="24"/>
        </w:rPr>
        <w:t>条</w:t>
      </w:r>
      <w:r>
        <w:rPr>
          <w:rFonts w:ascii="宋体" w:hAnsi="宋体"/>
          <w:sz w:val="24"/>
        </w:rPr>
        <w:t>　咨询人在其责任期内如果失职，同意按以下办法承担因单方责任而造成的经济损失。赔偿金=直接经济损失</w:t>
      </w:r>
    </w:p>
    <w:p>
      <w:pPr>
        <w:spacing w:line="360" w:lineRule="auto"/>
        <w:ind w:firstLine="480"/>
        <w:rPr>
          <w:rFonts w:ascii="宋体" w:hAnsi="宋体"/>
          <w:sz w:val="24"/>
        </w:rPr>
      </w:pPr>
      <w:r>
        <w:rPr>
          <w:rFonts w:ascii="宋体" w:hAnsi="宋体"/>
          <w:b/>
          <w:sz w:val="24"/>
        </w:rPr>
        <w:t>第</w:t>
      </w:r>
      <w:r>
        <w:rPr>
          <w:rFonts w:hint="eastAsia" w:ascii="宋体" w:hAnsi="宋体"/>
          <w:b/>
          <w:sz w:val="24"/>
        </w:rPr>
        <w:t>十五</w:t>
      </w:r>
      <w:r>
        <w:rPr>
          <w:rFonts w:ascii="宋体" w:hAnsi="宋体"/>
          <w:b/>
          <w:sz w:val="24"/>
        </w:rPr>
        <w:t>条</w:t>
      </w:r>
      <w:r>
        <w:rPr>
          <w:rFonts w:ascii="宋体" w:hAnsi="宋体"/>
          <w:sz w:val="24"/>
        </w:rPr>
        <w:t>由于委托人</w:t>
      </w:r>
      <w:r>
        <w:rPr>
          <w:rFonts w:hint="eastAsia" w:ascii="宋体" w:hAnsi="宋体"/>
          <w:sz w:val="24"/>
        </w:rPr>
        <w:t>、代建人</w:t>
      </w:r>
      <w:r>
        <w:rPr>
          <w:rFonts w:ascii="宋体" w:hAnsi="宋体"/>
          <w:sz w:val="24"/>
        </w:rPr>
        <w:t>或第三人的原因使咨询人工作受到阻碍或延误以致增加了工作量或持续时间，则咨询人应当将此情况与可能产生的影响及时书面通知委托人。由此增加的工作量</w:t>
      </w:r>
      <w:r>
        <w:rPr>
          <w:rFonts w:hint="eastAsia" w:ascii="宋体" w:hAnsi="宋体"/>
          <w:sz w:val="24"/>
        </w:rPr>
        <w:t>和持续时间只可延长合同期限，不增加费用</w:t>
      </w:r>
      <w:r>
        <w:rPr>
          <w:rFonts w:ascii="宋体" w:hAnsi="宋体"/>
          <w:sz w:val="24"/>
        </w:rPr>
        <w:t>。</w:t>
      </w:r>
    </w:p>
    <w:p>
      <w:pPr>
        <w:spacing w:line="360" w:lineRule="auto"/>
        <w:ind w:firstLine="480"/>
        <w:rPr>
          <w:rFonts w:ascii="宋体" w:hAnsi="宋体"/>
          <w:sz w:val="24"/>
        </w:rPr>
      </w:pPr>
      <w:r>
        <w:rPr>
          <w:rFonts w:ascii="宋体" w:hAnsi="宋体"/>
          <w:b/>
          <w:sz w:val="24"/>
        </w:rPr>
        <w:t>第</w:t>
      </w:r>
      <w:r>
        <w:rPr>
          <w:rFonts w:hint="eastAsia" w:ascii="宋体" w:hAnsi="宋体"/>
          <w:b/>
          <w:sz w:val="24"/>
        </w:rPr>
        <w:t>十六</w:t>
      </w:r>
      <w:r>
        <w:rPr>
          <w:rFonts w:ascii="宋体" w:hAnsi="宋体"/>
          <w:b/>
          <w:sz w:val="24"/>
        </w:rPr>
        <w:t>条</w:t>
      </w:r>
      <w:r>
        <w:rPr>
          <w:rFonts w:ascii="宋体" w:hAnsi="宋体"/>
          <w:sz w:val="24"/>
        </w:rPr>
        <w:t>　</w:t>
      </w:r>
      <w:r>
        <w:rPr>
          <w:rFonts w:hint="eastAsia" w:ascii="宋体" w:hAnsi="宋体"/>
          <w:sz w:val="24"/>
        </w:rPr>
        <w:t>委托人同意按以下的计算方法、支付时间与金额，支付咨询人的正常服务酬金：</w:t>
      </w:r>
    </w:p>
    <w:p>
      <w:pPr>
        <w:spacing w:line="360" w:lineRule="auto"/>
        <w:ind w:firstLine="480"/>
        <w:rPr>
          <w:rFonts w:ascii="宋体" w:hAnsi="宋体"/>
          <w:sz w:val="24"/>
        </w:rPr>
      </w:pPr>
      <w:r>
        <w:rPr>
          <w:rFonts w:hint="eastAsia" w:ascii="宋体" w:hAnsi="宋体"/>
          <w:sz w:val="24"/>
        </w:rPr>
        <w:t>造价咨询服务费：</w:t>
      </w:r>
    </w:p>
    <w:p>
      <w:pPr>
        <w:spacing w:line="360" w:lineRule="auto"/>
        <w:ind w:firstLine="480"/>
        <w:rPr>
          <w:rFonts w:ascii="宋体" w:hAnsi="宋体"/>
          <w:sz w:val="24"/>
        </w:rPr>
      </w:pPr>
      <w:r>
        <w:rPr>
          <w:rFonts w:hint="eastAsia" w:ascii="宋体" w:hAnsi="宋体"/>
          <w:sz w:val="24"/>
        </w:rPr>
        <w:t>按总价包干（含税价）计取，合同价为万元（大写：人民币）。</w:t>
      </w:r>
    </w:p>
    <w:p>
      <w:pPr>
        <w:widowControl/>
        <w:numPr>
          <w:ilvl w:val="0"/>
          <w:numId w:val="2"/>
        </w:numPr>
        <w:shd w:val="clear" w:color="auto" w:fill="FFFFFF"/>
        <w:spacing w:line="480" w:lineRule="auto"/>
        <w:ind w:firstLine="570"/>
        <w:outlineLvl w:val="0"/>
        <w:rPr>
          <w:rFonts w:ascii="宋体" w:hAnsi="宋体"/>
          <w:sz w:val="24"/>
          <w:u w:val="single"/>
        </w:rPr>
      </w:pPr>
      <w:r>
        <w:rPr>
          <w:rFonts w:hint="eastAsia" w:ascii="宋体" w:hAnsi="宋体"/>
          <w:sz w:val="24"/>
        </w:rPr>
        <w:t>费用支付时间：</w:t>
      </w:r>
      <w:r>
        <w:rPr>
          <w:rFonts w:hint="eastAsia" w:ascii="宋体" w:hAnsi="宋体"/>
          <w:sz w:val="24"/>
          <w:u w:val="single"/>
        </w:rPr>
        <w:t>咨询费用在正式提供所有咨询成果并经委托人审查合格，并经委托人、代建人书面认可后，咨询人向委托人开具足额的增值税专用发票，款项由代建人一次性支付，税费由咨询人自行承担。</w:t>
      </w:r>
    </w:p>
    <w:p>
      <w:pPr>
        <w:widowControl/>
        <w:shd w:val="clear" w:color="auto" w:fill="FFFFFF"/>
        <w:spacing w:line="480" w:lineRule="auto"/>
        <w:ind w:firstLine="570"/>
        <w:outlineLvl w:val="0"/>
        <w:rPr>
          <w:rFonts w:ascii="宋体" w:hAnsi="宋体"/>
          <w:sz w:val="24"/>
        </w:rPr>
      </w:pPr>
      <w:r>
        <w:rPr>
          <w:rFonts w:hint="eastAsia" w:ascii="宋体" w:hAnsi="宋体"/>
          <w:sz w:val="24"/>
        </w:rPr>
        <w:t>2、在支付款项时，咨询人应开具合格的发票，如经委托人核实后发现是假发票或套票的，委托人有权顺延支付相应款项并不承担延期付款的法律责任。</w:t>
      </w:r>
    </w:p>
    <w:p>
      <w:pPr>
        <w:widowControl/>
        <w:shd w:val="clear" w:color="auto" w:fill="FFFFFF"/>
        <w:spacing w:line="480" w:lineRule="auto"/>
        <w:ind w:firstLine="570"/>
        <w:outlineLvl w:val="0"/>
        <w:rPr>
          <w:rFonts w:ascii="宋体" w:hAnsi="宋体"/>
          <w:sz w:val="24"/>
        </w:rPr>
      </w:pPr>
      <w:r>
        <w:rPr>
          <w:rFonts w:hint="eastAsia" w:ascii="宋体" w:hAnsi="宋体"/>
          <w:sz w:val="24"/>
        </w:rPr>
        <w:t>3、委托人同意按以下计算方法、支付时间与金额，支付附加服务酬金：</w:t>
      </w:r>
      <w:r>
        <w:rPr>
          <w:rFonts w:hint="eastAsia" w:ascii="宋体" w:hAnsi="宋体"/>
          <w:sz w:val="24"/>
          <w:u w:val="single"/>
        </w:rPr>
        <w:t>无约定</w:t>
      </w:r>
      <w:r>
        <w:rPr>
          <w:rFonts w:hint="eastAsia" w:ascii="宋体" w:hAnsi="宋体"/>
          <w:sz w:val="24"/>
        </w:rPr>
        <w:t>。</w:t>
      </w:r>
    </w:p>
    <w:p>
      <w:pPr>
        <w:spacing w:line="620" w:lineRule="exact"/>
        <w:ind w:firstLine="482" w:firstLineChars="200"/>
        <w:rPr>
          <w:rFonts w:ascii="宋体" w:hAnsi="宋体"/>
          <w:sz w:val="24"/>
        </w:rPr>
      </w:pPr>
      <w:r>
        <w:rPr>
          <w:rFonts w:hint="eastAsia" w:ascii="宋体" w:hAnsi="宋体"/>
          <w:b/>
          <w:bCs/>
          <w:sz w:val="24"/>
        </w:rPr>
        <w:t>第十七条</w:t>
      </w:r>
      <w:r>
        <w:rPr>
          <w:rFonts w:hint="eastAsia" w:ascii="宋体" w:hAnsi="宋体"/>
          <w:sz w:val="24"/>
        </w:rPr>
        <w:t>双方同意用</w:t>
      </w:r>
      <w:r>
        <w:rPr>
          <w:rFonts w:hint="eastAsia" w:ascii="宋体" w:hAnsi="宋体"/>
          <w:sz w:val="24"/>
          <w:u w:val="single"/>
        </w:rPr>
        <w:t xml:space="preserve"> 人民币  </w:t>
      </w:r>
      <w:r>
        <w:rPr>
          <w:rFonts w:hint="eastAsia" w:ascii="宋体" w:hAnsi="宋体"/>
          <w:sz w:val="24"/>
        </w:rPr>
        <w:t>支付酬金，按</w:t>
      </w:r>
      <w:r>
        <w:rPr>
          <w:rFonts w:hint="eastAsia" w:ascii="宋体" w:hAnsi="宋体"/>
          <w:sz w:val="24"/>
          <w:u w:val="single"/>
        </w:rPr>
        <w:t xml:space="preserve">  / </w:t>
      </w:r>
      <w:r>
        <w:rPr>
          <w:rFonts w:hint="eastAsia" w:ascii="宋体" w:hAnsi="宋体"/>
          <w:sz w:val="24"/>
        </w:rPr>
        <w:t>汇率计付。</w:t>
      </w:r>
    </w:p>
    <w:p>
      <w:pPr>
        <w:widowControl/>
        <w:shd w:val="clear" w:color="auto" w:fill="FFFFFF"/>
        <w:spacing w:line="480" w:lineRule="auto"/>
        <w:ind w:firstLine="482" w:firstLineChars="200"/>
        <w:outlineLvl w:val="0"/>
        <w:rPr>
          <w:rFonts w:ascii="宋体" w:hAnsi="宋体"/>
          <w:sz w:val="24"/>
        </w:rPr>
      </w:pPr>
      <w:r>
        <w:rPr>
          <w:rFonts w:hint="eastAsia" w:ascii="宋体" w:hAnsi="宋体"/>
          <w:b/>
          <w:bCs/>
          <w:sz w:val="24"/>
        </w:rPr>
        <w:t>第十八条</w:t>
      </w:r>
      <w:r>
        <w:rPr>
          <w:rFonts w:hint="eastAsia" w:ascii="宋体" w:hAnsi="宋体"/>
          <w:sz w:val="24"/>
        </w:rPr>
        <w:t xml:space="preserve"> 委托人有权监督检查委托项目造价咨询工作的进度、质量，并对咨询人提供的工作成果进行审核。如咨询人不按合同条款、委托人、代建人的要求执行，或工作成果质量达不到委托人的要求，委托人、代建人有权要求咨询人在委托人限定的期限内进行整改，咨询人延迟、拒绝或因咨询人自身原因不能够返工整改的，委托人有权委托第三方完成，因此产生的费用以及因此给委托人造成的损失由咨询人承担，委托人、代建人亦有权解除本合同，咨询人应当向委托人支付违约金</w:t>
      </w:r>
      <w:r>
        <w:rPr>
          <w:rFonts w:hint="eastAsia" w:ascii="宋体" w:hAnsi="宋体"/>
          <w:sz w:val="24"/>
          <w:u w:val="single"/>
        </w:rPr>
        <w:t>伍</w:t>
      </w:r>
      <w:r>
        <w:rPr>
          <w:rFonts w:hint="eastAsia" w:ascii="宋体" w:hAnsi="宋体"/>
          <w:sz w:val="24"/>
        </w:rPr>
        <w:t>万元，并赔偿因此给委托人造成的损失。如委托人抽查咨询人编制的工程量清单几项工程量误差在</w:t>
      </w:r>
      <w:r>
        <w:rPr>
          <w:rFonts w:hint="eastAsia" w:ascii="宋体" w:hAnsi="宋体"/>
          <w:sz w:val="24"/>
          <w:u w:val="single"/>
        </w:rPr>
        <w:t>3%</w:t>
      </w:r>
      <w:r>
        <w:rPr>
          <w:rFonts w:hint="eastAsia" w:ascii="宋体" w:hAnsi="宋体"/>
          <w:sz w:val="24"/>
        </w:rPr>
        <w:t>上的，委托人有权要求咨询人重新编制，且咨询人承担违约责任并按二十四条约定进行处罚。</w:t>
      </w:r>
    </w:p>
    <w:p>
      <w:pPr>
        <w:widowControl/>
        <w:shd w:val="clear" w:color="auto" w:fill="FFFFFF"/>
        <w:spacing w:line="480" w:lineRule="auto"/>
        <w:ind w:firstLine="570"/>
        <w:outlineLvl w:val="0"/>
        <w:rPr>
          <w:rFonts w:ascii="宋体" w:hAnsi="宋体"/>
          <w:sz w:val="24"/>
        </w:rPr>
      </w:pPr>
      <w:r>
        <w:rPr>
          <w:rFonts w:hint="eastAsia" w:ascii="宋体" w:hAnsi="宋体"/>
          <w:b/>
          <w:bCs/>
          <w:sz w:val="24"/>
        </w:rPr>
        <w:t>第十九条</w:t>
      </w:r>
      <w:r>
        <w:rPr>
          <w:rFonts w:hint="eastAsia" w:ascii="宋体" w:hAnsi="宋体"/>
          <w:sz w:val="24"/>
        </w:rPr>
        <w:t xml:space="preserve"> 委托人根据咨询业务的进度要求，有权调配咨询人造价咨询人员来委托人所指定地点集中办公，统一管理，对此咨询人要积极服从。</w:t>
      </w:r>
    </w:p>
    <w:p>
      <w:pPr>
        <w:widowControl/>
        <w:shd w:val="clear" w:color="auto" w:fill="FFFFFF"/>
        <w:spacing w:line="480" w:lineRule="auto"/>
        <w:ind w:firstLine="570"/>
        <w:outlineLvl w:val="0"/>
        <w:rPr>
          <w:rFonts w:ascii="宋体" w:hAnsi="宋体"/>
          <w:sz w:val="24"/>
        </w:rPr>
      </w:pPr>
      <w:r>
        <w:rPr>
          <w:rFonts w:hint="eastAsia" w:ascii="宋体" w:hAnsi="宋体"/>
          <w:b/>
          <w:bCs/>
          <w:sz w:val="24"/>
        </w:rPr>
        <w:t>第二十条</w:t>
      </w:r>
      <w:r>
        <w:rPr>
          <w:rFonts w:hint="eastAsia" w:ascii="宋体" w:hAnsi="宋体"/>
          <w:sz w:val="24"/>
        </w:rPr>
        <w:t xml:space="preserve"> 如委托人发现咨询人人员不能满足本工程造价咨询任务的进度时，有权要求咨询人增加人员以达到完成进度的需要，咨询人不得以任何理由拒绝，否则，由此造成的损失由咨询人负责。</w:t>
      </w:r>
    </w:p>
    <w:p>
      <w:pPr>
        <w:widowControl/>
        <w:shd w:val="clear" w:color="auto" w:fill="FFFFFF"/>
        <w:spacing w:line="480" w:lineRule="auto"/>
        <w:ind w:firstLine="570"/>
        <w:outlineLvl w:val="0"/>
        <w:rPr>
          <w:rFonts w:ascii="宋体" w:hAnsi="宋体"/>
          <w:sz w:val="24"/>
        </w:rPr>
      </w:pPr>
      <w:r>
        <w:rPr>
          <w:rFonts w:hint="eastAsia" w:ascii="宋体" w:hAnsi="宋体"/>
          <w:b/>
          <w:bCs/>
          <w:sz w:val="24"/>
        </w:rPr>
        <w:t>第二十一条</w:t>
      </w:r>
      <w:r>
        <w:rPr>
          <w:rFonts w:hint="eastAsia" w:ascii="宋体" w:hAnsi="宋体"/>
          <w:sz w:val="24"/>
        </w:rPr>
        <w:t xml:space="preserve"> 委托人有权要求咨询人更换工作小组中业务能力较低、工作出现重大失误或配合不力的造价</w:t>
      </w:r>
      <w:r>
        <w:rPr>
          <w:rFonts w:hint="eastAsia" w:ascii="宋体" w:hAnsi="宋体"/>
          <w:sz w:val="24"/>
        </w:rPr>
        <w:drawing>
          <wp:anchor distT="0" distB="0" distL="114300" distR="114300" simplePos="0" relativeHeight="251658240" behindDoc="1" locked="1" layoutInCell="1" allowOverlap="1">
            <wp:simplePos x="0" y="0"/>
            <wp:positionH relativeFrom="column">
              <wp:posOffset>3060700</wp:posOffset>
            </wp:positionH>
            <wp:positionV relativeFrom="paragraph">
              <wp:posOffset>6921500</wp:posOffset>
            </wp:positionV>
            <wp:extent cx="952500" cy="927100"/>
            <wp:effectExtent l="0" t="0" r="0" b="6350"/>
            <wp:wrapNone/>
            <wp:docPr id="1" name="Picture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66"/>
                    <pic:cNvPicPr>
                      <a:picLocks noChangeAspect="1"/>
                    </pic:cNvPicPr>
                  </pic:nvPicPr>
                  <pic:blipFill>
                    <a:blip r:embed="rId5"/>
                    <a:stretch>
                      <a:fillRect/>
                    </a:stretch>
                  </pic:blipFill>
                  <pic:spPr>
                    <a:xfrm>
                      <a:off x="0" y="0"/>
                      <a:ext cx="952500" cy="927100"/>
                    </a:xfrm>
                    <a:prstGeom prst="rect">
                      <a:avLst/>
                    </a:prstGeom>
                    <a:noFill/>
                    <a:ln w="9525">
                      <a:noFill/>
                    </a:ln>
                  </pic:spPr>
                </pic:pic>
              </a:graphicData>
            </a:graphic>
          </wp:anchor>
        </w:drawing>
      </w:r>
      <w:r>
        <w:rPr>
          <w:rFonts w:hint="eastAsia" w:ascii="宋体" w:hAnsi="宋体"/>
          <w:sz w:val="24"/>
        </w:rPr>
        <w:t>咨询人员，咨询人应在委托人提出要求后24小时内更换人员，由此造成的损失及延误的工期由咨询人负责。</w:t>
      </w:r>
    </w:p>
    <w:p>
      <w:pPr>
        <w:widowControl/>
        <w:shd w:val="clear" w:color="auto" w:fill="FFFFFF"/>
        <w:spacing w:line="480" w:lineRule="auto"/>
        <w:ind w:firstLine="570"/>
        <w:outlineLvl w:val="0"/>
        <w:rPr>
          <w:rFonts w:ascii="宋体" w:hAnsi="宋体"/>
          <w:sz w:val="24"/>
        </w:rPr>
      </w:pPr>
      <w:r>
        <w:rPr>
          <w:rFonts w:hint="eastAsia" w:ascii="宋体" w:hAnsi="宋体"/>
          <w:b/>
          <w:bCs/>
          <w:sz w:val="24"/>
        </w:rPr>
        <w:t>第二十二条</w:t>
      </w:r>
      <w:r>
        <w:rPr>
          <w:rFonts w:hint="eastAsia" w:ascii="宋体" w:hAnsi="宋体"/>
          <w:sz w:val="24"/>
        </w:rPr>
        <w:t xml:space="preserve">  在咨询业务进行中 ，如对图纸有疑问时，要及时与委托人沟通，并以书面形式提交，不得以自己的理解擅自进行计算，否则，一经发现有此种情况，按违约处理。</w:t>
      </w:r>
    </w:p>
    <w:p>
      <w:pPr>
        <w:widowControl/>
        <w:shd w:val="clear" w:color="auto" w:fill="FFFFFF"/>
        <w:spacing w:line="480" w:lineRule="auto"/>
        <w:ind w:firstLine="570"/>
        <w:outlineLvl w:val="0"/>
        <w:rPr>
          <w:rFonts w:ascii="宋体" w:hAnsi="宋体"/>
          <w:sz w:val="24"/>
        </w:rPr>
      </w:pPr>
      <w:r>
        <w:rPr>
          <w:rFonts w:hint="eastAsia" w:ascii="宋体" w:hAnsi="宋体"/>
          <w:b/>
          <w:bCs/>
          <w:sz w:val="24"/>
        </w:rPr>
        <w:t>第二十三条</w:t>
      </w:r>
      <w:r>
        <w:rPr>
          <w:rFonts w:hint="eastAsia" w:ascii="宋体" w:hAnsi="宋体"/>
          <w:sz w:val="24"/>
        </w:rPr>
        <w:t xml:space="preserve"> 咨询人造价咨询人员应对委托业务中的各种资料和结论保密，不得透露给第三方。如若违反该约定，咨询人需支付违约金</w:t>
      </w:r>
      <w:r>
        <w:rPr>
          <w:rFonts w:hint="eastAsia" w:ascii="宋体" w:hAnsi="宋体"/>
          <w:sz w:val="24"/>
          <w:u w:val="single"/>
        </w:rPr>
        <w:t>50000</w:t>
      </w:r>
      <w:r>
        <w:rPr>
          <w:rFonts w:hint="eastAsia" w:ascii="宋体" w:hAnsi="宋体"/>
          <w:sz w:val="24"/>
        </w:rPr>
        <w:t>元，并赔偿委托人相应损失。</w:t>
      </w:r>
    </w:p>
    <w:p>
      <w:pPr>
        <w:widowControl/>
        <w:shd w:val="clear" w:color="auto" w:fill="FFFFFF"/>
        <w:spacing w:line="480" w:lineRule="auto"/>
        <w:ind w:firstLine="570"/>
        <w:outlineLvl w:val="0"/>
        <w:rPr>
          <w:rFonts w:ascii="宋体" w:hAnsi="宋体"/>
          <w:sz w:val="24"/>
        </w:rPr>
      </w:pPr>
      <w:r>
        <w:rPr>
          <w:rFonts w:hint="eastAsia" w:ascii="宋体" w:hAnsi="宋体"/>
          <w:b/>
          <w:bCs/>
          <w:sz w:val="24"/>
        </w:rPr>
        <w:t>第二十四条</w:t>
      </w:r>
      <w:r>
        <w:rPr>
          <w:rFonts w:hint="eastAsia" w:ascii="宋体" w:hAnsi="宋体"/>
          <w:sz w:val="24"/>
        </w:rPr>
        <w:t xml:space="preserve"> 合同双方任何一方不能履行或未切实履行合同条款，均属违约。违约所造成的损失，按本合同规定由违约方承担。 </w:t>
      </w:r>
    </w:p>
    <w:p>
      <w:pPr>
        <w:widowControl/>
        <w:shd w:val="clear" w:color="auto" w:fill="FFFFFF"/>
        <w:spacing w:line="480" w:lineRule="auto"/>
        <w:ind w:firstLine="570"/>
        <w:outlineLvl w:val="0"/>
        <w:rPr>
          <w:rFonts w:ascii="宋体" w:hAnsi="宋体"/>
          <w:sz w:val="24"/>
        </w:rPr>
      </w:pPr>
      <w:r>
        <w:rPr>
          <w:rFonts w:hint="eastAsia" w:ascii="宋体" w:hAnsi="宋体"/>
          <w:b/>
          <w:bCs/>
          <w:sz w:val="24"/>
        </w:rPr>
        <w:t>第二十五条</w:t>
      </w:r>
      <w:r>
        <w:rPr>
          <w:rFonts w:hint="eastAsia" w:ascii="宋体" w:hAnsi="宋体"/>
          <w:sz w:val="24"/>
        </w:rPr>
        <w:t xml:space="preserve"> 咨询人工作结果经委托人审核或与委托项目实施进度确定的工程量清单对比出现错误，应按以下方式处理：</w:t>
      </w:r>
    </w:p>
    <w:p>
      <w:pPr>
        <w:widowControl/>
        <w:shd w:val="clear" w:color="auto" w:fill="FFFFFF"/>
        <w:spacing w:line="480" w:lineRule="auto"/>
        <w:ind w:firstLine="570"/>
        <w:outlineLvl w:val="0"/>
        <w:rPr>
          <w:rFonts w:ascii="宋体" w:hAnsi="宋体"/>
          <w:sz w:val="24"/>
        </w:rPr>
      </w:pPr>
      <w:r>
        <w:rPr>
          <w:rFonts w:hint="eastAsia" w:ascii="宋体" w:hAnsi="宋体"/>
          <w:sz w:val="24"/>
        </w:rPr>
        <w:t>每标段每一分项工程工程量平均误差率＞2%且≤4%(统计该分项工程各项清单工程量误差率的平均值)，咨询人承担总造价咨询业务费用分摊在该标段上（按施工图面积分摊）咨询费用5%的违约金，各分项工程违约金累计计算；</w:t>
      </w:r>
    </w:p>
    <w:p>
      <w:pPr>
        <w:widowControl/>
        <w:shd w:val="clear" w:color="auto" w:fill="FFFFFF"/>
        <w:spacing w:line="480" w:lineRule="auto"/>
        <w:ind w:firstLine="570"/>
        <w:outlineLvl w:val="0"/>
        <w:rPr>
          <w:rFonts w:ascii="宋体" w:hAnsi="宋体"/>
          <w:sz w:val="24"/>
        </w:rPr>
      </w:pPr>
      <w:r>
        <w:rPr>
          <w:rFonts w:hint="eastAsia" w:ascii="宋体" w:hAnsi="宋体"/>
          <w:sz w:val="24"/>
        </w:rPr>
        <w:t>每标段每一分项工程工程量平均误差率＞4%且≤6%(统计该分项工程各项清单工程量误差率的平均值)，乙方承担总造价咨询业务费用分摊在该标段上（按施工图面积分摊）咨询费用的10%的违约金，各分项工程违约金累计计算；</w:t>
      </w:r>
    </w:p>
    <w:p>
      <w:pPr>
        <w:widowControl/>
        <w:shd w:val="clear" w:color="auto" w:fill="FFFFFF"/>
        <w:spacing w:line="480" w:lineRule="auto"/>
        <w:ind w:firstLine="570"/>
        <w:outlineLvl w:val="0"/>
        <w:rPr>
          <w:rFonts w:ascii="宋体" w:hAnsi="宋体"/>
          <w:sz w:val="24"/>
        </w:rPr>
      </w:pPr>
      <w:r>
        <w:rPr>
          <w:rFonts w:hint="eastAsia" w:ascii="宋体" w:hAnsi="宋体"/>
          <w:sz w:val="24"/>
        </w:rPr>
        <w:t>每标段每一分项工程工程量平均误差率＞6%(统计该分项工程各项清单工程量误差率的平均值)，则视为咨询人严重违约，委托人有权终止合同，咨询人应当向委托方支付违约金伍万元，并赔偿因此该委托人造成的损失。</w:t>
      </w:r>
    </w:p>
    <w:p>
      <w:pPr>
        <w:widowControl/>
        <w:shd w:val="clear" w:color="auto" w:fill="FFFFFF"/>
        <w:spacing w:line="480" w:lineRule="auto"/>
        <w:ind w:firstLine="570"/>
        <w:outlineLvl w:val="0"/>
        <w:rPr>
          <w:rFonts w:ascii="宋体" w:hAnsi="宋体"/>
          <w:sz w:val="24"/>
        </w:rPr>
      </w:pPr>
      <w:r>
        <w:rPr>
          <w:rFonts w:hint="eastAsia" w:ascii="宋体" w:hAnsi="宋体"/>
          <w:sz w:val="24"/>
        </w:rPr>
        <w:t>如工程量清单出现漏项、重项及清单项目设置不正确、项目特征描述错误、不完整等，按</w:t>
      </w:r>
      <w:r>
        <w:rPr>
          <w:rFonts w:hint="eastAsia" w:ascii="宋体" w:hAnsi="宋体"/>
          <w:sz w:val="24"/>
          <w:u w:val="single"/>
        </w:rPr>
        <w:t>1000元</w:t>
      </w:r>
      <w:r>
        <w:rPr>
          <w:rFonts w:hint="eastAsia" w:ascii="宋体" w:hAnsi="宋体"/>
          <w:sz w:val="24"/>
        </w:rPr>
        <w:t>/处承担违约金。</w:t>
      </w:r>
    </w:p>
    <w:p>
      <w:pPr>
        <w:widowControl/>
        <w:shd w:val="clear" w:color="auto" w:fill="FFFFFF"/>
        <w:spacing w:line="480" w:lineRule="auto"/>
        <w:ind w:firstLine="570"/>
        <w:outlineLvl w:val="0"/>
        <w:rPr>
          <w:rFonts w:ascii="宋体" w:hAnsi="宋体"/>
          <w:sz w:val="24"/>
        </w:rPr>
      </w:pPr>
      <w:r>
        <w:rPr>
          <w:rFonts w:hint="eastAsia" w:ascii="宋体" w:hAnsi="宋体"/>
          <w:sz w:val="24"/>
        </w:rPr>
        <w:t>5） 如咨询人提交的招标工程量清单，在总包施工过程中发现仍有错误，按</w:t>
      </w:r>
      <w:r>
        <w:rPr>
          <w:rFonts w:hint="eastAsia" w:ascii="宋体" w:hAnsi="宋体"/>
          <w:sz w:val="24"/>
          <w:u w:val="single"/>
        </w:rPr>
        <w:t>500元</w:t>
      </w:r>
      <w:r>
        <w:rPr>
          <w:rFonts w:hint="eastAsia" w:ascii="宋体" w:hAnsi="宋体"/>
          <w:sz w:val="24"/>
        </w:rPr>
        <w:t>/处承担违约金。</w:t>
      </w:r>
    </w:p>
    <w:p>
      <w:pPr>
        <w:widowControl/>
        <w:shd w:val="clear" w:color="auto" w:fill="FFFFFF"/>
        <w:spacing w:line="480" w:lineRule="auto"/>
        <w:ind w:firstLine="570"/>
        <w:outlineLvl w:val="0"/>
        <w:rPr>
          <w:rFonts w:ascii="宋体" w:hAnsi="宋体"/>
          <w:sz w:val="24"/>
        </w:rPr>
      </w:pPr>
      <w:r>
        <w:rPr>
          <w:rFonts w:hint="eastAsia" w:ascii="宋体" w:hAnsi="宋体"/>
          <w:sz w:val="24"/>
        </w:rPr>
        <w:t>6）咨询人未经委托人同意更换人员，委托人可按</w:t>
      </w:r>
      <w:r>
        <w:rPr>
          <w:rFonts w:hint="eastAsia" w:ascii="宋体" w:hAnsi="宋体"/>
          <w:sz w:val="24"/>
          <w:u w:val="single"/>
        </w:rPr>
        <w:t>500元</w:t>
      </w:r>
      <w:r>
        <w:rPr>
          <w:rFonts w:hint="eastAsia" w:ascii="宋体" w:hAnsi="宋体"/>
          <w:sz w:val="24"/>
        </w:rPr>
        <w:t>/人·次的标准扣除违约金。</w:t>
      </w:r>
    </w:p>
    <w:p>
      <w:pPr>
        <w:spacing w:line="620" w:lineRule="exact"/>
        <w:ind w:firstLine="765"/>
        <w:rPr>
          <w:rFonts w:ascii="宋体" w:hAnsi="宋体"/>
          <w:sz w:val="24"/>
        </w:rPr>
      </w:pPr>
      <w:r>
        <w:rPr>
          <w:rFonts w:hint="eastAsia" w:ascii="宋体" w:hAnsi="宋体"/>
          <w:b/>
          <w:bCs/>
          <w:sz w:val="24"/>
        </w:rPr>
        <w:t xml:space="preserve">第二十六条 </w:t>
      </w:r>
      <w:r>
        <w:rPr>
          <w:rFonts w:hint="eastAsia" w:ascii="宋体" w:hAnsi="宋体"/>
          <w:sz w:val="24"/>
        </w:rPr>
        <w:t>建设工程造价咨询合同在履行过程中发生争议，委托人与咨询人应及时协商解决；如未能达成一致，可提交有关主管部门调解；协商或调解不成的，委托人与咨询人双方中的任何一方均可提交重庆仲裁委员会，按照申请仲裁时该会现行有效的仲裁规则进行仲裁，仲裁裁决是终局的，对甲乙双方均有约束力，因此而产生的所有费用包括但不限于：律师费、仲裁费、财产保全费、鉴定费、申请执行费等所有合理费用都由败诉方承担。</w:t>
      </w:r>
    </w:p>
    <w:p>
      <w:pPr>
        <w:widowControl/>
        <w:shd w:val="clear" w:color="auto" w:fill="FFFFFF"/>
        <w:spacing w:line="480" w:lineRule="auto"/>
        <w:ind w:firstLine="570"/>
        <w:outlineLvl w:val="0"/>
        <w:rPr>
          <w:rFonts w:ascii="宋体" w:hAnsi="宋体"/>
          <w:sz w:val="24"/>
        </w:rPr>
      </w:pPr>
    </w:p>
    <w:tbl>
      <w:tblPr>
        <w:tblStyle w:val="5"/>
        <w:tblW w:w="8925" w:type="dxa"/>
        <w:jc w:val="center"/>
        <w:tblInd w:w="-207" w:type="dxa"/>
        <w:tblLayout w:type="fixed"/>
        <w:tblCellMar>
          <w:top w:w="0" w:type="dxa"/>
          <w:left w:w="108" w:type="dxa"/>
          <w:bottom w:w="0" w:type="dxa"/>
          <w:right w:w="108" w:type="dxa"/>
        </w:tblCellMar>
      </w:tblPr>
      <w:tblGrid>
        <w:gridCol w:w="4454"/>
        <w:gridCol w:w="17"/>
        <w:gridCol w:w="4454"/>
      </w:tblGrid>
      <w:tr>
        <w:tblPrEx>
          <w:tblLayout w:type="fixed"/>
          <w:tblCellMar>
            <w:top w:w="0" w:type="dxa"/>
            <w:left w:w="108" w:type="dxa"/>
            <w:bottom w:w="0" w:type="dxa"/>
            <w:right w:w="108" w:type="dxa"/>
          </w:tblCellMar>
        </w:tblPrEx>
        <w:trPr>
          <w:trHeight w:val="919" w:hRule="atLeast"/>
          <w:jc w:val="center"/>
        </w:trPr>
        <w:tc>
          <w:tcPr>
            <w:tcW w:w="4471" w:type="dxa"/>
            <w:gridSpan w:val="2"/>
          </w:tcPr>
          <w:p>
            <w:pPr>
              <w:pStyle w:val="3"/>
              <w:adjustRightInd w:val="0"/>
              <w:snapToGrid w:val="0"/>
              <w:spacing w:line="360" w:lineRule="auto"/>
              <w:rPr>
                <w:rFonts w:ascii="宋体" w:hAnsi="宋体"/>
                <w:sz w:val="22"/>
                <w:szCs w:val="22"/>
              </w:rPr>
            </w:pPr>
            <w:r>
              <w:rPr>
                <w:rFonts w:hint="eastAsia" w:ascii="宋体" w:hAnsi="宋体"/>
                <w:sz w:val="22"/>
                <w:szCs w:val="22"/>
              </w:rPr>
              <w:t>委托人（公章）：</w:t>
            </w:r>
            <w:r>
              <w:rPr>
                <w:rFonts w:hint="eastAsia" w:ascii="宋体" w:hAnsi="宋体"/>
                <w:sz w:val="22"/>
                <w:szCs w:val="22"/>
                <w:u w:val="single"/>
              </w:rPr>
              <w:t>重庆长江黄金游轮有限公司</w:t>
            </w:r>
          </w:p>
        </w:tc>
        <w:tc>
          <w:tcPr>
            <w:tcW w:w="4454" w:type="dxa"/>
          </w:tcPr>
          <w:p>
            <w:pPr>
              <w:adjustRightInd w:val="0"/>
              <w:snapToGrid w:val="0"/>
              <w:spacing w:line="360" w:lineRule="auto"/>
              <w:rPr>
                <w:rFonts w:ascii="宋体" w:hAnsi="宋体"/>
                <w:sz w:val="22"/>
                <w:szCs w:val="22"/>
                <w:u w:val="single"/>
              </w:rPr>
            </w:pPr>
            <w:r>
              <w:rPr>
                <w:rFonts w:hint="eastAsia" w:ascii="宋体" w:hAnsi="宋体"/>
                <w:sz w:val="22"/>
                <w:szCs w:val="22"/>
              </w:rPr>
              <w:t>代建人（公章）：</w:t>
            </w:r>
            <w:r>
              <w:rPr>
                <w:rFonts w:hint="eastAsia" w:ascii="宋体" w:hAnsi="宋体"/>
                <w:sz w:val="22"/>
                <w:szCs w:val="22"/>
                <w:u w:val="single"/>
              </w:rPr>
              <w:t>重庆交旅建设工程有限公司</w:t>
            </w:r>
          </w:p>
          <w:p>
            <w:pPr>
              <w:pStyle w:val="3"/>
              <w:adjustRightInd w:val="0"/>
              <w:snapToGrid w:val="0"/>
              <w:spacing w:line="360" w:lineRule="auto"/>
              <w:rPr>
                <w:rFonts w:ascii="宋体" w:hAnsi="宋体"/>
                <w:sz w:val="22"/>
                <w:szCs w:val="22"/>
              </w:rPr>
            </w:pPr>
          </w:p>
        </w:tc>
      </w:tr>
      <w:tr>
        <w:tblPrEx>
          <w:tblLayout w:type="fixed"/>
          <w:tblCellMar>
            <w:top w:w="0" w:type="dxa"/>
            <w:left w:w="108" w:type="dxa"/>
            <w:bottom w:w="0" w:type="dxa"/>
            <w:right w:w="108" w:type="dxa"/>
          </w:tblCellMar>
        </w:tblPrEx>
        <w:trPr>
          <w:trHeight w:val="2354" w:hRule="atLeast"/>
          <w:jc w:val="center"/>
        </w:trPr>
        <w:tc>
          <w:tcPr>
            <w:tcW w:w="4471" w:type="dxa"/>
            <w:gridSpan w:val="2"/>
          </w:tcPr>
          <w:p>
            <w:pPr>
              <w:pStyle w:val="3"/>
              <w:adjustRightInd w:val="0"/>
              <w:snapToGrid w:val="0"/>
              <w:spacing w:line="480" w:lineRule="auto"/>
              <w:rPr>
                <w:rFonts w:ascii="宋体" w:hAnsi="宋体"/>
                <w:sz w:val="22"/>
                <w:szCs w:val="22"/>
              </w:rPr>
            </w:pPr>
            <w:r>
              <w:rPr>
                <w:rFonts w:hint="eastAsia" w:ascii="宋体" w:hAnsi="宋体"/>
                <w:sz w:val="22"/>
                <w:szCs w:val="22"/>
              </w:rPr>
              <w:t>法定代表人</w:t>
            </w:r>
          </w:p>
          <w:p>
            <w:pPr>
              <w:pStyle w:val="3"/>
              <w:adjustRightInd w:val="0"/>
              <w:snapToGrid w:val="0"/>
              <w:spacing w:line="480" w:lineRule="auto"/>
              <w:rPr>
                <w:rFonts w:ascii="宋体" w:hAnsi="宋体"/>
                <w:sz w:val="22"/>
                <w:szCs w:val="22"/>
              </w:rPr>
            </w:pPr>
            <w:r>
              <w:rPr>
                <w:rFonts w:hint="eastAsia" w:ascii="宋体" w:hAnsi="宋体"/>
                <w:sz w:val="22"/>
                <w:szCs w:val="22"/>
              </w:rPr>
              <w:t>或授权代理人（签字）</w:t>
            </w:r>
          </w:p>
          <w:p>
            <w:pPr>
              <w:pStyle w:val="3"/>
              <w:adjustRightInd w:val="0"/>
              <w:snapToGrid w:val="0"/>
              <w:spacing w:line="360" w:lineRule="auto"/>
              <w:rPr>
                <w:rFonts w:ascii="宋体" w:hAnsi="宋体"/>
                <w:sz w:val="22"/>
                <w:szCs w:val="22"/>
              </w:rPr>
            </w:pPr>
            <w:r>
              <w:rPr>
                <w:rFonts w:hint="eastAsia" w:ascii="宋体" w:hAnsi="宋体"/>
                <w:sz w:val="22"/>
                <w:szCs w:val="22"/>
              </w:rPr>
              <w:t>经办人：（签字）</w:t>
            </w:r>
          </w:p>
        </w:tc>
        <w:tc>
          <w:tcPr>
            <w:tcW w:w="4454" w:type="dxa"/>
          </w:tcPr>
          <w:p>
            <w:pPr>
              <w:pStyle w:val="3"/>
              <w:adjustRightInd w:val="0"/>
              <w:snapToGrid w:val="0"/>
              <w:spacing w:line="480" w:lineRule="auto"/>
              <w:rPr>
                <w:rFonts w:ascii="宋体" w:hAnsi="宋体"/>
                <w:sz w:val="22"/>
                <w:szCs w:val="22"/>
              </w:rPr>
            </w:pPr>
            <w:r>
              <w:rPr>
                <w:rFonts w:hint="eastAsia" w:ascii="宋体" w:hAnsi="宋体"/>
                <w:sz w:val="22"/>
                <w:szCs w:val="22"/>
              </w:rPr>
              <w:t>法定代表人</w:t>
            </w:r>
          </w:p>
          <w:p>
            <w:pPr>
              <w:pStyle w:val="3"/>
              <w:adjustRightInd w:val="0"/>
              <w:snapToGrid w:val="0"/>
              <w:spacing w:line="480" w:lineRule="auto"/>
              <w:rPr>
                <w:rFonts w:ascii="宋体" w:hAnsi="宋体"/>
                <w:sz w:val="22"/>
                <w:szCs w:val="22"/>
              </w:rPr>
            </w:pPr>
            <w:r>
              <w:rPr>
                <w:rFonts w:hint="eastAsia" w:ascii="宋体" w:hAnsi="宋体"/>
                <w:sz w:val="22"/>
                <w:szCs w:val="22"/>
              </w:rPr>
              <w:t>或授权代理人： （签字）</w:t>
            </w:r>
          </w:p>
          <w:p>
            <w:pPr>
              <w:pStyle w:val="3"/>
              <w:adjustRightInd w:val="0"/>
              <w:snapToGrid w:val="0"/>
              <w:spacing w:line="360" w:lineRule="auto"/>
              <w:rPr>
                <w:rFonts w:ascii="宋体" w:hAnsi="宋体"/>
                <w:sz w:val="22"/>
                <w:szCs w:val="22"/>
              </w:rPr>
            </w:pPr>
            <w:r>
              <w:rPr>
                <w:rFonts w:hint="eastAsia" w:ascii="宋体" w:hAnsi="宋体"/>
                <w:sz w:val="22"/>
                <w:szCs w:val="22"/>
              </w:rPr>
              <w:t>经办人：（签字）</w:t>
            </w:r>
          </w:p>
        </w:tc>
      </w:tr>
      <w:tr>
        <w:tblPrEx>
          <w:tblLayout w:type="fixed"/>
          <w:tblCellMar>
            <w:top w:w="0" w:type="dxa"/>
            <w:left w:w="108" w:type="dxa"/>
            <w:bottom w:w="0" w:type="dxa"/>
            <w:right w:w="108" w:type="dxa"/>
          </w:tblCellMar>
        </w:tblPrEx>
        <w:trPr>
          <w:trHeight w:val="989" w:hRule="exact"/>
          <w:jc w:val="center"/>
        </w:trPr>
        <w:tc>
          <w:tcPr>
            <w:tcW w:w="4471" w:type="dxa"/>
            <w:gridSpan w:val="2"/>
            <w:vAlign w:val="center"/>
          </w:tcPr>
          <w:p>
            <w:pPr>
              <w:pStyle w:val="3"/>
              <w:adjustRightInd w:val="0"/>
              <w:snapToGrid w:val="0"/>
              <w:spacing w:line="360" w:lineRule="auto"/>
              <w:rPr>
                <w:rFonts w:ascii="宋体" w:hAnsi="宋体"/>
                <w:sz w:val="22"/>
                <w:szCs w:val="22"/>
              </w:rPr>
            </w:pPr>
            <w:r>
              <w:rPr>
                <w:rFonts w:hint="eastAsia" w:ascii="宋体" w:hAnsi="宋体"/>
                <w:sz w:val="22"/>
                <w:szCs w:val="22"/>
              </w:rPr>
              <w:t>地址：</w:t>
            </w:r>
          </w:p>
        </w:tc>
        <w:tc>
          <w:tcPr>
            <w:tcW w:w="4454" w:type="dxa"/>
            <w:vAlign w:val="center"/>
          </w:tcPr>
          <w:p>
            <w:pPr>
              <w:pStyle w:val="3"/>
              <w:adjustRightInd w:val="0"/>
              <w:snapToGrid w:val="0"/>
              <w:spacing w:line="360" w:lineRule="auto"/>
              <w:rPr>
                <w:rFonts w:ascii="宋体" w:hAnsi="宋体"/>
                <w:sz w:val="22"/>
                <w:szCs w:val="22"/>
              </w:rPr>
            </w:pPr>
            <w:r>
              <w:rPr>
                <w:rFonts w:hint="eastAsia" w:ascii="宋体" w:hAnsi="宋体"/>
                <w:sz w:val="22"/>
                <w:szCs w:val="22"/>
              </w:rPr>
              <w:t>地址：</w:t>
            </w:r>
          </w:p>
        </w:tc>
      </w:tr>
      <w:tr>
        <w:tblPrEx>
          <w:tblLayout w:type="fixed"/>
          <w:tblCellMar>
            <w:top w:w="0" w:type="dxa"/>
            <w:left w:w="108" w:type="dxa"/>
            <w:bottom w:w="0" w:type="dxa"/>
            <w:right w:w="108" w:type="dxa"/>
          </w:tblCellMar>
        </w:tblPrEx>
        <w:trPr>
          <w:trHeight w:val="563" w:hRule="exact"/>
          <w:jc w:val="center"/>
        </w:trPr>
        <w:tc>
          <w:tcPr>
            <w:tcW w:w="4471" w:type="dxa"/>
            <w:gridSpan w:val="2"/>
          </w:tcPr>
          <w:p>
            <w:pPr>
              <w:pStyle w:val="3"/>
              <w:adjustRightInd w:val="0"/>
              <w:snapToGrid w:val="0"/>
              <w:spacing w:line="360" w:lineRule="auto"/>
              <w:rPr>
                <w:rFonts w:ascii="宋体" w:hAnsi="宋体"/>
                <w:sz w:val="22"/>
                <w:szCs w:val="22"/>
              </w:rPr>
            </w:pPr>
            <w:r>
              <w:rPr>
                <w:rFonts w:hint="eastAsia" w:ascii="宋体" w:hAnsi="宋体"/>
                <w:sz w:val="22"/>
                <w:szCs w:val="22"/>
              </w:rPr>
              <w:t>电话：</w:t>
            </w:r>
          </w:p>
        </w:tc>
        <w:tc>
          <w:tcPr>
            <w:tcW w:w="4454" w:type="dxa"/>
          </w:tcPr>
          <w:p>
            <w:pPr>
              <w:pStyle w:val="3"/>
              <w:adjustRightInd w:val="0"/>
              <w:snapToGrid w:val="0"/>
              <w:spacing w:line="360" w:lineRule="auto"/>
              <w:rPr>
                <w:rFonts w:ascii="宋体" w:hAnsi="宋体"/>
                <w:sz w:val="22"/>
                <w:szCs w:val="22"/>
              </w:rPr>
            </w:pPr>
            <w:r>
              <w:rPr>
                <w:rFonts w:hint="eastAsia" w:ascii="宋体" w:hAnsi="宋体"/>
                <w:sz w:val="22"/>
                <w:szCs w:val="22"/>
              </w:rPr>
              <w:t>电话：</w:t>
            </w:r>
          </w:p>
        </w:tc>
      </w:tr>
      <w:tr>
        <w:tblPrEx>
          <w:tblLayout w:type="fixed"/>
          <w:tblCellMar>
            <w:top w:w="0" w:type="dxa"/>
            <w:left w:w="108" w:type="dxa"/>
            <w:bottom w:w="0" w:type="dxa"/>
            <w:right w:w="108" w:type="dxa"/>
          </w:tblCellMar>
        </w:tblPrEx>
        <w:trPr>
          <w:trHeight w:val="1099" w:hRule="exact"/>
          <w:jc w:val="center"/>
        </w:trPr>
        <w:tc>
          <w:tcPr>
            <w:tcW w:w="4471" w:type="dxa"/>
            <w:gridSpan w:val="2"/>
            <w:vAlign w:val="center"/>
          </w:tcPr>
          <w:p>
            <w:pPr>
              <w:adjustRightInd w:val="0"/>
              <w:snapToGrid w:val="0"/>
              <w:spacing w:line="360" w:lineRule="auto"/>
              <w:rPr>
                <w:rFonts w:ascii="宋体" w:hAnsi="宋体"/>
                <w:sz w:val="22"/>
                <w:szCs w:val="22"/>
              </w:rPr>
            </w:pPr>
            <w:r>
              <w:rPr>
                <w:rFonts w:hint="eastAsia" w:ascii="宋体" w:hAnsi="宋体"/>
                <w:sz w:val="22"/>
                <w:szCs w:val="22"/>
              </w:rPr>
              <w:t xml:space="preserve">咨询人（公章）： </w:t>
            </w:r>
          </w:p>
        </w:tc>
        <w:tc>
          <w:tcPr>
            <w:tcW w:w="4454" w:type="dxa"/>
          </w:tcPr>
          <w:p>
            <w:pPr>
              <w:pStyle w:val="3"/>
              <w:adjustRightInd w:val="0"/>
              <w:snapToGrid w:val="0"/>
              <w:spacing w:line="360" w:lineRule="auto"/>
              <w:rPr>
                <w:rFonts w:ascii="宋体" w:hAnsi="宋体"/>
                <w:sz w:val="22"/>
                <w:szCs w:val="22"/>
              </w:rPr>
            </w:pPr>
          </w:p>
        </w:tc>
      </w:tr>
      <w:tr>
        <w:tblPrEx>
          <w:tblLayout w:type="fixed"/>
          <w:tblCellMar>
            <w:top w:w="0" w:type="dxa"/>
            <w:left w:w="108" w:type="dxa"/>
            <w:bottom w:w="0" w:type="dxa"/>
            <w:right w:w="108" w:type="dxa"/>
          </w:tblCellMar>
        </w:tblPrEx>
        <w:trPr>
          <w:gridAfter w:val="2"/>
          <w:wAfter w:w="4471" w:type="dxa"/>
          <w:trHeight w:val="1798" w:hRule="atLeast"/>
          <w:jc w:val="center"/>
        </w:trPr>
        <w:tc>
          <w:tcPr>
            <w:tcW w:w="4454" w:type="dxa"/>
          </w:tcPr>
          <w:p>
            <w:pPr>
              <w:pStyle w:val="3"/>
              <w:adjustRightInd w:val="0"/>
              <w:snapToGrid w:val="0"/>
              <w:spacing w:line="480" w:lineRule="auto"/>
              <w:rPr>
                <w:rFonts w:ascii="宋体" w:hAnsi="宋体"/>
                <w:sz w:val="22"/>
                <w:szCs w:val="22"/>
              </w:rPr>
            </w:pPr>
            <w:r>
              <w:rPr>
                <w:rFonts w:hint="eastAsia" w:ascii="宋体" w:hAnsi="宋体"/>
                <w:sz w:val="22"/>
                <w:szCs w:val="22"/>
              </w:rPr>
              <w:t>法定代表人</w:t>
            </w:r>
          </w:p>
          <w:p>
            <w:pPr>
              <w:pStyle w:val="3"/>
              <w:adjustRightInd w:val="0"/>
              <w:snapToGrid w:val="0"/>
              <w:spacing w:line="480" w:lineRule="auto"/>
              <w:rPr>
                <w:rFonts w:ascii="宋体" w:hAnsi="宋体"/>
                <w:sz w:val="22"/>
                <w:szCs w:val="22"/>
              </w:rPr>
            </w:pPr>
            <w:r>
              <w:rPr>
                <w:rFonts w:hint="eastAsia" w:ascii="宋体" w:hAnsi="宋体"/>
                <w:sz w:val="22"/>
                <w:szCs w:val="22"/>
              </w:rPr>
              <w:t>或授权代理人： （签字）</w:t>
            </w:r>
          </w:p>
          <w:p>
            <w:pPr>
              <w:pStyle w:val="3"/>
              <w:adjustRightInd w:val="0"/>
              <w:snapToGrid w:val="0"/>
              <w:spacing w:line="360" w:lineRule="auto"/>
              <w:rPr>
                <w:rFonts w:ascii="宋体" w:hAnsi="宋体"/>
                <w:sz w:val="22"/>
                <w:szCs w:val="22"/>
              </w:rPr>
            </w:pPr>
            <w:r>
              <w:rPr>
                <w:rFonts w:hint="eastAsia" w:ascii="宋体" w:hAnsi="宋体"/>
                <w:sz w:val="22"/>
                <w:szCs w:val="22"/>
              </w:rPr>
              <w:t>经办人：（签字）</w:t>
            </w:r>
          </w:p>
        </w:tc>
      </w:tr>
      <w:tr>
        <w:tblPrEx>
          <w:tblLayout w:type="fixed"/>
          <w:tblCellMar>
            <w:top w:w="0" w:type="dxa"/>
            <w:left w:w="108" w:type="dxa"/>
            <w:bottom w:w="0" w:type="dxa"/>
            <w:right w:w="108" w:type="dxa"/>
          </w:tblCellMar>
        </w:tblPrEx>
        <w:trPr>
          <w:gridAfter w:val="2"/>
          <w:wAfter w:w="4471" w:type="dxa"/>
          <w:trHeight w:val="794" w:hRule="exact"/>
          <w:jc w:val="center"/>
        </w:trPr>
        <w:tc>
          <w:tcPr>
            <w:tcW w:w="4454" w:type="dxa"/>
            <w:vAlign w:val="center"/>
          </w:tcPr>
          <w:p>
            <w:pPr>
              <w:pStyle w:val="3"/>
              <w:adjustRightInd w:val="0"/>
              <w:snapToGrid w:val="0"/>
              <w:spacing w:line="360" w:lineRule="auto"/>
              <w:rPr>
                <w:rFonts w:ascii="宋体" w:hAnsi="宋体"/>
                <w:sz w:val="22"/>
                <w:szCs w:val="22"/>
              </w:rPr>
            </w:pPr>
            <w:r>
              <w:rPr>
                <w:rFonts w:hint="eastAsia" w:ascii="宋体" w:hAnsi="宋体"/>
                <w:sz w:val="22"/>
                <w:szCs w:val="22"/>
              </w:rPr>
              <w:t>地址：</w:t>
            </w:r>
          </w:p>
        </w:tc>
      </w:tr>
      <w:tr>
        <w:tblPrEx>
          <w:tblLayout w:type="fixed"/>
          <w:tblCellMar>
            <w:top w:w="0" w:type="dxa"/>
            <w:left w:w="108" w:type="dxa"/>
            <w:bottom w:w="0" w:type="dxa"/>
            <w:right w:w="108" w:type="dxa"/>
          </w:tblCellMar>
        </w:tblPrEx>
        <w:trPr>
          <w:gridAfter w:val="2"/>
          <w:wAfter w:w="4471" w:type="dxa"/>
          <w:trHeight w:val="794" w:hRule="exact"/>
          <w:jc w:val="center"/>
        </w:trPr>
        <w:tc>
          <w:tcPr>
            <w:tcW w:w="4454" w:type="dxa"/>
          </w:tcPr>
          <w:p>
            <w:pPr>
              <w:pStyle w:val="3"/>
              <w:adjustRightInd w:val="0"/>
              <w:snapToGrid w:val="0"/>
              <w:spacing w:line="360" w:lineRule="auto"/>
              <w:rPr>
                <w:rFonts w:ascii="宋体" w:hAnsi="宋体"/>
                <w:sz w:val="22"/>
                <w:szCs w:val="22"/>
              </w:rPr>
            </w:pPr>
            <w:r>
              <w:rPr>
                <w:rFonts w:hint="eastAsia" w:ascii="宋体" w:hAnsi="宋体"/>
                <w:sz w:val="22"/>
                <w:szCs w:val="22"/>
              </w:rPr>
              <w:t xml:space="preserve">开户银行：       </w:t>
            </w:r>
          </w:p>
          <w:p>
            <w:pPr>
              <w:pStyle w:val="3"/>
              <w:adjustRightInd w:val="0"/>
              <w:snapToGrid w:val="0"/>
              <w:spacing w:line="360" w:lineRule="auto"/>
              <w:rPr>
                <w:rFonts w:ascii="宋体" w:hAnsi="宋体"/>
                <w:sz w:val="22"/>
                <w:szCs w:val="22"/>
              </w:rPr>
            </w:pPr>
          </w:p>
        </w:tc>
      </w:tr>
      <w:tr>
        <w:tblPrEx>
          <w:tblLayout w:type="fixed"/>
          <w:tblCellMar>
            <w:top w:w="0" w:type="dxa"/>
            <w:left w:w="108" w:type="dxa"/>
            <w:bottom w:w="0" w:type="dxa"/>
            <w:right w:w="108" w:type="dxa"/>
          </w:tblCellMar>
        </w:tblPrEx>
        <w:trPr>
          <w:gridAfter w:val="2"/>
          <w:wAfter w:w="4471" w:type="dxa"/>
          <w:trHeight w:val="794" w:hRule="exact"/>
          <w:jc w:val="center"/>
        </w:trPr>
        <w:tc>
          <w:tcPr>
            <w:tcW w:w="4454" w:type="dxa"/>
          </w:tcPr>
          <w:p>
            <w:pPr>
              <w:pStyle w:val="3"/>
              <w:adjustRightInd w:val="0"/>
              <w:snapToGrid w:val="0"/>
              <w:spacing w:line="360" w:lineRule="auto"/>
              <w:rPr>
                <w:rFonts w:ascii="宋体" w:hAnsi="宋体"/>
                <w:sz w:val="22"/>
                <w:szCs w:val="22"/>
              </w:rPr>
            </w:pPr>
            <w:r>
              <w:rPr>
                <w:rFonts w:hint="eastAsia" w:ascii="宋体" w:hAnsi="宋体"/>
                <w:sz w:val="22"/>
                <w:szCs w:val="22"/>
              </w:rPr>
              <w:t>帐 号：</w:t>
            </w:r>
          </w:p>
        </w:tc>
      </w:tr>
      <w:tr>
        <w:tblPrEx>
          <w:tblLayout w:type="fixed"/>
          <w:tblCellMar>
            <w:top w:w="0" w:type="dxa"/>
            <w:left w:w="108" w:type="dxa"/>
            <w:bottom w:w="0" w:type="dxa"/>
            <w:right w:w="108" w:type="dxa"/>
          </w:tblCellMar>
        </w:tblPrEx>
        <w:trPr>
          <w:gridAfter w:val="2"/>
          <w:wAfter w:w="4471" w:type="dxa"/>
          <w:trHeight w:val="434" w:hRule="exact"/>
          <w:jc w:val="center"/>
        </w:trPr>
        <w:tc>
          <w:tcPr>
            <w:tcW w:w="4454" w:type="dxa"/>
          </w:tcPr>
          <w:p>
            <w:pPr>
              <w:pStyle w:val="3"/>
              <w:adjustRightInd w:val="0"/>
              <w:snapToGrid w:val="0"/>
              <w:spacing w:line="360" w:lineRule="auto"/>
              <w:rPr>
                <w:rFonts w:ascii="宋体" w:hAnsi="宋体"/>
                <w:sz w:val="22"/>
                <w:szCs w:val="22"/>
              </w:rPr>
            </w:pPr>
            <w:r>
              <w:rPr>
                <w:rFonts w:hint="eastAsia" w:ascii="宋体" w:hAnsi="宋体"/>
                <w:sz w:val="22"/>
                <w:szCs w:val="22"/>
              </w:rPr>
              <w:t>电话：</w:t>
            </w:r>
          </w:p>
        </w:tc>
      </w:tr>
    </w:tbl>
    <w:p>
      <w:pPr>
        <w:rPr>
          <w:sz w:val="30"/>
          <w:szCs w:val="30"/>
        </w:rPr>
      </w:pPr>
    </w:p>
    <w:p>
      <w:pPr>
        <w:jc w:val="center"/>
        <w:rPr>
          <w:rFonts w:ascii="宋体" w:hAnsi="宋体"/>
          <w:b/>
          <w:sz w:val="28"/>
          <w:szCs w:val="28"/>
        </w:rPr>
      </w:pPr>
    </w:p>
    <w:p>
      <w:pPr>
        <w:jc w:val="center"/>
        <w:rPr>
          <w:rFonts w:ascii="宋体" w:hAnsi="宋体"/>
          <w:b/>
          <w:color w:val="000000"/>
          <w:sz w:val="28"/>
          <w:szCs w:val="28"/>
        </w:rPr>
      </w:pPr>
    </w:p>
    <w:p>
      <w:pPr>
        <w:jc w:val="center"/>
        <w:rPr>
          <w:rFonts w:ascii="宋体" w:hAnsi="宋体"/>
          <w:b/>
          <w:color w:val="000000"/>
          <w:sz w:val="28"/>
          <w:szCs w:val="28"/>
        </w:rPr>
      </w:pPr>
      <w:r>
        <w:rPr>
          <w:rFonts w:hint="eastAsia" w:ascii="宋体" w:hAnsi="宋体"/>
          <w:b/>
          <w:color w:val="000000"/>
          <w:sz w:val="28"/>
          <w:szCs w:val="28"/>
        </w:rPr>
        <w:t>拟选派本项目人员名单及资格</w:t>
      </w:r>
    </w:p>
    <w:p>
      <w:pPr>
        <w:ind w:right="420"/>
        <w:rPr>
          <w:rFonts w:ascii="宋体" w:hAnsi="宋体"/>
          <w:color w:val="000000"/>
          <w:szCs w:val="21"/>
        </w:rPr>
      </w:pPr>
    </w:p>
    <w:tbl>
      <w:tblPr>
        <w:tblStyle w:val="5"/>
        <w:tblpPr w:leftFromText="180" w:rightFromText="180" w:vertAnchor="text" w:tblpXSpec="center" w:tblpY="1"/>
        <w:tblOverlap w:val="never"/>
        <w:tblW w:w="92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369"/>
        <w:gridCol w:w="1428"/>
        <w:gridCol w:w="898"/>
        <w:gridCol w:w="1737"/>
        <w:gridCol w:w="848"/>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vMerge w:val="restart"/>
            <w:vAlign w:val="center"/>
          </w:tcPr>
          <w:p>
            <w:pPr>
              <w:spacing w:line="600" w:lineRule="exact"/>
              <w:jc w:val="center"/>
              <w:rPr>
                <w:rFonts w:ascii="宋体" w:hAnsi="宋体" w:cs="MT Extra"/>
                <w:color w:val="000000"/>
                <w:szCs w:val="21"/>
              </w:rPr>
            </w:pPr>
            <w:r>
              <w:rPr>
                <w:rFonts w:hint="eastAsia" w:ascii="宋体" w:hAnsi="宋体" w:cs="MT Extra"/>
                <w:color w:val="000000"/>
                <w:szCs w:val="21"/>
              </w:rPr>
              <w:t>职务</w:t>
            </w:r>
          </w:p>
        </w:tc>
        <w:tc>
          <w:tcPr>
            <w:tcW w:w="993" w:type="dxa"/>
            <w:vMerge w:val="restart"/>
            <w:vAlign w:val="center"/>
          </w:tcPr>
          <w:p>
            <w:pPr>
              <w:spacing w:line="600" w:lineRule="exact"/>
              <w:jc w:val="center"/>
              <w:rPr>
                <w:rFonts w:ascii="宋体" w:hAnsi="宋体" w:cs="MT Extra"/>
                <w:color w:val="000000"/>
                <w:szCs w:val="21"/>
              </w:rPr>
            </w:pPr>
            <w:r>
              <w:rPr>
                <w:rFonts w:hint="eastAsia" w:ascii="宋体" w:hAnsi="宋体" w:cs="MT Extra"/>
                <w:color w:val="000000"/>
                <w:szCs w:val="21"/>
              </w:rPr>
              <w:t>姓名</w:t>
            </w:r>
          </w:p>
        </w:tc>
        <w:tc>
          <w:tcPr>
            <w:tcW w:w="1369" w:type="dxa"/>
            <w:vMerge w:val="restart"/>
            <w:vAlign w:val="center"/>
          </w:tcPr>
          <w:p>
            <w:pPr>
              <w:spacing w:line="600" w:lineRule="exact"/>
              <w:jc w:val="center"/>
              <w:rPr>
                <w:rFonts w:ascii="宋体" w:hAnsi="宋体" w:cs="MT Extra"/>
                <w:color w:val="000000"/>
                <w:szCs w:val="21"/>
              </w:rPr>
            </w:pPr>
            <w:r>
              <w:rPr>
                <w:rFonts w:hint="eastAsia" w:ascii="宋体" w:hAnsi="宋体" w:cs="MT Extra"/>
                <w:color w:val="000000"/>
                <w:szCs w:val="21"/>
              </w:rPr>
              <w:t>职称</w:t>
            </w:r>
          </w:p>
        </w:tc>
        <w:tc>
          <w:tcPr>
            <w:tcW w:w="4911" w:type="dxa"/>
            <w:gridSpan w:val="4"/>
            <w:vAlign w:val="center"/>
          </w:tcPr>
          <w:p>
            <w:pPr>
              <w:spacing w:line="600" w:lineRule="exact"/>
              <w:jc w:val="center"/>
              <w:rPr>
                <w:rFonts w:ascii="宋体" w:hAnsi="宋体" w:cs="MT Extra"/>
                <w:color w:val="000000"/>
                <w:szCs w:val="21"/>
              </w:rPr>
            </w:pPr>
            <w:r>
              <w:rPr>
                <w:rFonts w:hint="eastAsia" w:ascii="宋体" w:hAnsi="宋体" w:cs="MT Extra"/>
                <w:color w:val="000000"/>
                <w:szCs w:val="21"/>
              </w:rPr>
              <w:t>执业或职业资格证明</w:t>
            </w:r>
          </w:p>
        </w:tc>
        <w:tc>
          <w:tcPr>
            <w:tcW w:w="884" w:type="dxa"/>
          </w:tcPr>
          <w:p>
            <w:pPr>
              <w:spacing w:line="600" w:lineRule="exact"/>
              <w:jc w:val="center"/>
              <w:rPr>
                <w:rFonts w:ascii="宋体" w:hAnsi="宋体" w:cs="MT Extra"/>
                <w:color w:val="000000"/>
                <w:szCs w:val="21"/>
              </w:rPr>
            </w:pPr>
            <w:r>
              <w:rPr>
                <w:rFonts w:hint="eastAsia" w:ascii="宋体" w:hAnsi="宋体" w:cs="MT Extr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134" w:type="dxa"/>
            <w:vMerge w:val="continue"/>
          </w:tcPr>
          <w:p>
            <w:pPr>
              <w:spacing w:line="600" w:lineRule="exact"/>
              <w:rPr>
                <w:rFonts w:ascii="宋体" w:hAnsi="宋体" w:cs="MT Extra"/>
                <w:color w:val="000000"/>
                <w:szCs w:val="21"/>
              </w:rPr>
            </w:pPr>
          </w:p>
        </w:tc>
        <w:tc>
          <w:tcPr>
            <w:tcW w:w="993" w:type="dxa"/>
            <w:vMerge w:val="continue"/>
          </w:tcPr>
          <w:p>
            <w:pPr>
              <w:spacing w:line="600" w:lineRule="exact"/>
              <w:rPr>
                <w:rFonts w:ascii="宋体" w:hAnsi="宋体" w:cs="MT Extra"/>
                <w:color w:val="000000"/>
                <w:szCs w:val="21"/>
              </w:rPr>
            </w:pPr>
          </w:p>
        </w:tc>
        <w:tc>
          <w:tcPr>
            <w:tcW w:w="1369" w:type="dxa"/>
            <w:vMerge w:val="continue"/>
            <w:vAlign w:val="center"/>
          </w:tcPr>
          <w:p>
            <w:pPr>
              <w:spacing w:line="600" w:lineRule="exact"/>
              <w:jc w:val="center"/>
              <w:rPr>
                <w:rFonts w:ascii="宋体" w:hAnsi="宋体" w:cs="MT Extra"/>
                <w:color w:val="000000"/>
                <w:szCs w:val="21"/>
              </w:rPr>
            </w:pPr>
          </w:p>
        </w:tc>
        <w:tc>
          <w:tcPr>
            <w:tcW w:w="1428" w:type="dxa"/>
          </w:tcPr>
          <w:p>
            <w:pPr>
              <w:spacing w:line="600" w:lineRule="exact"/>
              <w:jc w:val="center"/>
              <w:rPr>
                <w:rFonts w:ascii="宋体" w:hAnsi="宋体" w:cs="MT Extra"/>
                <w:color w:val="000000"/>
                <w:szCs w:val="21"/>
              </w:rPr>
            </w:pPr>
            <w:r>
              <w:rPr>
                <w:rFonts w:hint="eastAsia" w:ascii="宋体" w:hAnsi="宋体" w:cs="MT Extra"/>
                <w:color w:val="000000"/>
                <w:szCs w:val="21"/>
              </w:rPr>
              <w:t>证书名称</w:t>
            </w:r>
          </w:p>
        </w:tc>
        <w:tc>
          <w:tcPr>
            <w:tcW w:w="898" w:type="dxa"/>
          </w:tcPr>
          <w:p>
            <w:pPr>
              <w:spacing w:line="600" w:lineRule="exact"/>
              <w:jc w:val="center"/>
              <w:rPr>
                <w:rFonts w:ascii="宋体" w:hAnsi="宋体" w:cs="MT Extra"/>
                <w:color w:val="000000"/>
                <w:szCs w:val="21"/>
              </w:rPr>
            </w:pPr>
            <w:r>
              <w:rPr>
                <w:rFonts w:hint="eastAsia" w:ascii="宋体" w:hAnsi="宋体" w:cs="MT Extra"/>
                <w:color w:val="000000"/>
                <w:szCs w:val="21"/>
              </w:rPr>
              <w:t>级别</w:t>
            </w:r>
          </w:p>
        </w:tc>
        <w:tc>
          <w:tcPr>
            <w:tcW w:w="1737" w:type="dxa"/>
          </w:tcPr>
          <w:p>
            <w:pPr>
              <w:spacing w:line="600" w:lineRule="exact"/>
              <w:jc w:val="center"/>
              <w:rPr>
                <w:rFonts w:ascii="宋体" w:hAnsi="宋体" w:cs="MT Extra"/>
                <w:color w:val="000000"/>
                <w:szCs w:val="21"/>
              </w:rPr>
            </w:pPr>
            <w:r>
              <w:rPr>
                <w:rFonts w:hint="eastAsia" w:ascii="宋体" w:hAnsi="宋体" w:cs="MT Extra"/>
                <w:color w:val="000000"/>
                <w:szCs w:val="21"/>
              </w:rPr>
              <w:t>证号</w:t>
            </w:r>
          </w:p>
        </w:tc>
        <w:tc>
          <w:tcPr>
            <w:tcW w:w="848" w:type="dxa"/>
          </w:tcPr>
          <w:p>
            <w:pPr>
              <w:spacing w:line="600" w:lineRule="exact"/>
              <w:jc w:val="center"/>
              <w:rPr>
                <w:rFonts w:ascii="宋体" w:hAnsi="宋体" w:cs="MT Extra"/>
                <w:color w:val="000000"/>
                <w:szCs w:val="21"/>
              </w:rPr>
            </w:pPr>
            <w:r>
              <w:rPr>
                <w:rFonts w:hint="eastAsia" w:ascii="宋体" w:hAnsi="宋体" w:cs="MT Extra"/>
                <w:color w:val="000000"/>
                <w:szCs w:val="21"/>
              </w:rPr>
              <w:t>专业</w:t>
            </w:r>
          </w:p>
        </w:tc>
        <w:tc>
          <w:tcPr>
            <w:tcW w:w="884" w:type="dxa"/>
          </w:tcPr>
          <w:p>
            <w:pPr>
              <w:spacing w:line="600" w:lineRule="exact"/>
              <w:rPr>
                <w:rFonts w:ascii="宋体" w:hAnsi="宋体" w:cs="MT Extr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4" w:type="dxa"/>
            <w:vAlign w:val="center"/>
          </w:tcPr>
          <w:p>
            <w:pPr>
              <w:spacing w:line="800" w:lineRule="exact"/>
              <w:jc w:val="center"/>
              <w:rPr>
                <w:rFonts w:ascii="宋体" w:hAnsi="宋体" w:cs="MT Extra"/>
                <w:color w:val="000000"/>
                <w:szCs w:val="21"/>
              </w:rPr>
            </w:pPr>
          </w:p>
        </w:tc>
        <w:tc>
          <w:tcPr>
            <w:tcW w:w="993" w:type="dxa"/>
            <w:vAlign w:val="center"/>
          </w:tcPr>
          <w:p>
            <w:pPr>
              <w:spacing w:line="800" w:lineRule="exact"/>
              <w:jc w:val="center"/>
              <w:rPr>
                <w:rFonts w:ascii="宋体" w:hAnsi="宋体" w:cs="MT Extra"/>
                <w:color w:val="000000"/>
                <w:szCs w:val="21"/>
              </w:rPr>
            </w:pPr>
          </w:p>
        </w:tc>
        <w:tc>
          <w:tcPr>
            <w:tcW w:w="1369" w:type="dxa"/>
            <w:vAlign w:val="center"/>
          </w:tcPr>
          <w:p>
            <w:pPr>
              <w:spacing w:line="800" w:lineRule="exact"/>
              <w:jc w:val="center"/>
              <w:rPr>
                <w:rFonts w:ascii="宋体" w:hAnsi="宋体" w:cs="MT Extra"/>
                <w:color w:val="000000"/>
                <w:szCs w:val="21"/>
              </w:rPr>
            </w:pPr>
          </w:p>
        </w:tc>
        <w:tc>
          <w:tcPr>
            <w:tcW w:w="1428" w:type="dxa"/>
            <w:vAlign w:val="center"/>
          </w:tcPr>
          <w:p>
            <w:pPr>
              <w:jc w:val="center"/>
              <w:rPr>
                <w:rFonts w:ascii="宋体" w:hAnsi="宋体" w:cs="MT Extra"/>
                <w:color w:val="000000"/>
                <w:szCs w:val="21"/>
              </w:rPr>
            </w:pPr>
          </w:p>
        </w:tc>
        <w:tc>
          <w:tcPr>
            <w:tcW w:w="898" w:type="dxa"/>
            <w:vAlign w:val="center"/>
          </w:tcPr>
          <w:p>
            <w:pPr>
              <w:spacing w:line="800" w:lineRule="exact"/>
              <w:jc w:val="center"/>
              <w:rPr>
                <w:rFonts w:ascii="宋体" w:hAnsi="宋体" w:cs="MT Extra"/>
                <w:color w:val="000000"/>
                <w:szCs w:val="21"/>
              </w:rPr>
            </w:pPr>
          </w:p>
        </w:tc>
        <w:tc>
          <w:tcPr>
            <w:tcW w:w="1737" w:type="dxa"/>
            <w:vAlign w:val="center"/>
          </w:tcPr>
          <w:p>
            <w:pPr>
              <w:jc w:val="center"/>
              <w:rPr>
                <w:rFonts w:ascii="宋体" w:hAnsi="宋体" w:cs="MT Extra"/>
                <w:color w:val="000000"/>
                <w:szCs w:val="21"/>
              </w:rPr>
            </w:pPr>
          </w:p>
        </w:tc>
        <w:tc>
          <w:tcPr>
            <w:tcW w:w="848" w:type="dxa"/>
            <w:vAlign w:val="center"/>
          </w:tcPr>
          <w:p>
            <w:pPr>
              <w:jc w:val="center"/>
              <w:rPr>
                <w:rFonts w:ascii="宋体" w:hAnsi="宋体" w:cs="MT Extra"/>
                <w:color w:val="000000"/>
                <w:szCs w:val="21"/>
              </w:rPr>
            </w:pPr>
          </w:p>
        </w:tc>
        <w:tc>
          <w:tcPr>
            <w:tcW w:w="884" w:type="dxa"/>
            <w:vAlign w:val="center"/>
          </w:tcPr>
          <w:p>
            <w:pPr>
              <w:spacing w:line="800" w:lineRule="exact"/>
              <w:jc w:val="center"/>
              <w:rPr>
                <w:rFonts w:ascii="宋体" w:hAnsi="宋体" w:cs="MT Extr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4" w:type="dxa"/>
            <w:vAlign w:val="center"/>
          </w:tcPr>
          <w:p>
            <w:pPr>
              <w:spacing w:line="800" w:lineRule="exact"/>
              <w:jc w:val="center"/>
              <w:rPr>
                <w:rFonts w:ascii="宋体" w:hAnsi="宋体" w:cs="MT Extra"/>
                <w:color w:val="000000"/>
                <w:szCs w:val="21"/>
              </w:rPr>
            </w:pPr>
          </w:p>
        </w:tc>
        <w:tc>
          <w:tcPr>
            <w:tcW w:w="993" w:type="dxa"/>
            <w:vAlign w:val="center"/>
          </w:tcPr>
          <w:p>
            <w:pPr>
              <w:jc w:val="center"/>
              <w:rPr>
                <w:rFonts w:ascii="宋体" w:hAnsi="宋体" w:cs="MT Extra"/>
                <w:color w:val="000000"/>
                <w:szCs w:val="21"/>
              </w:rPr>
            </w:pPr>
          </w:p>
        </w:tc>
        <w:tc>
          <w:tcPr>
            <w:tcW w:w="1369" w:type="dxa"/>
            <w:vAlign w:val="center"/>
          </w:tcPr>
          <w:p>
            <w:pPr>
              <w:jc w:val="center"/>
              <w:rPr>
                <w:rFonts w:ascii="宋体" w:hAnsi="宋体" w:cs="MT Extra"/>
                <w:color w:val="000000"/>
                <w:szCs w:val="21"/>
              </w:rPr>
            </w:pPr>
          </w:p>
        </w:tc>
        <w:tc>
          <w:tcPr>
            <w:tcW w:w="1428" w:type="dxa"/>
            <w:vAlign w:val="center"/>
          </w:tcPr>
          <w:p>
            <w:pPr>
              <w:jc w:val="center"/>
              <w:rPr>
                <w:rFonts w:ascii="宋体" w:hAnsi="宋体" w:cs="MT Extra"/>
                <w:color w:val="000000"/>
                <w:szCs w:val="21"/>
              </w:rPr>
            </w:pPr>
          </w:p>
        </w:tc>
        <w:tc>
          <w:tcPr>
            <w:tcW w:w="898" w:type="dxa"/>
            <w:vAlign w:val="center"/>
          </w:tcPr>
          <w:p>
            <w:pPr>
              <w:jc w:val="center"/>
              <w:rPr>
                <w:rFonts w:ascii="宋体" w:hAnsi="宋体" w:cs="MT Extra"/>
                <w:color w:val="000000"/>
                <w:szCs w:val="21"/>
              </w:rPr>
            </w:pPr>
          </w:p>
        </w:tc>
        <w:tc>
          <w:tcPr>
            <w:tcW w:w="1737" w:type="dxa"/>
            <w:vAlign w:val="center"/>
          </w:tcPr>
          <w:p>
            <w:pPr>
              <w:jc w:val="center"/>
              <w:rPr>
                <w:rFonts w:ascii="宋体" w:hAnsi="宋体" w:cs="MT Extra"/>
                <w:color w:val="000000"/>
                <w:szCs w:val="21"/>
              </w:rPr>
            </w:pPr>
          </w:p>
        </w:tc>
        <w:tc>
          <w:tcPr>
            <w:tcW w:w="848" w:type="dxa"/>
            <w:vAlign w:val="center"/>
          </w:tcPr>
          <w:p>
            <w:pPr>
              <w:jc w:val="center"/>
              <w:rPr>
                <w:rFonts w:ascii="宋体" w:hAnsi="宋体" w:cs="MT Extra"/>
                <w:color w:val="000000"/>
                <w:szCs w:val="21"/>
              </w:rPr>
            </w:pPr>
          </w:p>
        </w:tc>
        <w:tc>
          <w:tcPr>
            <w:tcW w:w="884" w:type="dxa"/>
            <w:vAlign w:val="center"/>
          </w:tcPr>
          <w:p>
            <w:pPr>
              <w:jc w:val="center"/>
              <w:rPr>
                <w:rFonts w:ascii="宋体" w:hAnsi="宋体" w:cs="MT Extr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4" w:type="dxa"/>
            <w:vAlign w:val="center"/>
          </w:tcPr>
          <w:p>
            <w:pPr>
              <w:spacing w:line="800" w:lineRule="exact"/>
              <w:jc w:val="center"/>
              <w:rPr>
                <w:rFonts w:ascii="宋体" w:hAnsi="宋体" w:cs="MT Extra"/>
                <w:color w:val="000000"/>
                <w:szCs w:val="21"/>
              </w:rPr>
            </w:pPr>
          </w:p>
        </w:tc>
        <w:tc>
          <w:tcPr>
            <w:tcW w:w="993" w:type="dxa"/>
            <w:vAlign w:val="center"/>
          </w:tcPr>
          <w:p>
            <w:pPr>
              <w:jc w:val="center"/>
              <w:rPr>
                <w:rFonts w:ascii="宋体" w:hAnsi="宋体" w:cs="MT Extra"/>
                <w:color w:val="000000"/>
                <w:szCs w:val="21"/>
              </w:rPr>
            </w:pPr>
          </w:p>
        </w:tc>
        <w:tc>
          <w:tcPr>
            <w:tcW w:w="1369" w:type="dxa"/>
            <w:vAlign w:val="center"/>
          </w:tcPr>
          <w:p>
            <w:pPr>
              <w:jc w:val="center"/>
              <w:rPr>
                <w:rFonts w:ascii="宋体" w:hAnsi="宋体" w:cs="MT Extra"/>
                <w:color w:val="000000"/>
                <w:szCs w:val="21"/>
              </w:rPr>
            </w:pPr>
          </w:p>
        </w:tc>
        <w:tc>
          <w:tcPr>
            <w:tcW w:w="1428" w:type="dxa"/>
            <w:vAlign w:val="center"/>
          </w:tcPr>
          <w:p>
            <w:pPr>
              <w:jc w:val="center"/>
              <w:rPr>
                <w:rFonts w:ascii="宋体" w:hAnsi="宋体" w:cs="MT Extra"/>
                <w:color w:val="000000"/>
                <w:szCs w:val="21"/>
              </w:rPr>
            </w:pPr>
          </w:p>
        </w:tc>
        <w:tc>
          <w:tcPr>
            <w:tcW w:w="898" w:type="dxa"/>
            <w:vAlign w:val="center"/>
          </w:tcPr>
          <w:p>
            <w:pPr>
              <w:jc w:val="center"/>
              <w:rPr>
                <w:rFonts w:ascii="宋体" w:hAnsi="宋体" w:cs="MT Extra"/>
                <w:color w:val="000000"/>
                <w:szCs w:val="21"/>
              </w:rPr>
            </w:pPr>
          </w:p>
        </w:tc>
        <w:tc>
          <w:tcPr>
            <w:tcW w:w="1737" w:type="dxa"/>
            <w:vAlign w:val="center"/>
          </w:tcPr>
          <w:p>
            <w:pPr>
              <w:jc w:val="center"/>
              <w:rPr>
                <w:rFonts w:ascii="宋体" w:hAnsi="宋体" w:cs="MT Extra"/>
                <w:color w:val="000000"/>
                <w:szCs w:val="21"/>
              </w:rPr>
            </w:pPr>
          </w:p>
        </w:tc>
        <w:tc>
          <w:tcPr>
            <w:tcW w:w="848" w:type="dxa"/>
            <w:vAlign w:val="center"/>
          </w:tcPr>
          <w:p>
            <w:pPr>
              <w:jc w:val="center"/>
              <w:rPr>
                <w:rFonts w:ascii="宋体" w:hAnsi="宋体" w:cs="MT Extra"/>
                <w:color w:val="000000"/>
                <w:szCs w:val="21"/>
              </w:rPr>
            </w:pPr>
          </w:p>
        </w:tc>
        <w:tc>
          <w:tcPr>
            <w:tcW w:w="884" w:type="dxa"/>
            <w:vAlign w:val="center"/>
          </w:tcPr>
          <w:p>
            <w:pPr>
              <w:spacing w:line="800" w:lineRule="exact"/>
              <w:jc w:val="center"/>
              <w:rPr>
                <w:rFonts w:ascii="宋体" w:hAnsi="宋体" w:cs="MT Extr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4" w:type="dxa"/>
            <w:vAlign w:val="center"/>
          </w:tcPr>
          <w:p>
            <w:pPr>
              <w:spacing w:line="800" w:lineRule="exact"/>
              <w:jc w:val="center"/>
              <w:rPr>
                <w:rFonts w:ascii="宋体" w:hAnsi="宋体" w:cs="MT Extra"/>
                <w:color w:val="000000"/>
                <w:szCs w:val="21"/>
              </w:rPr>
            </w:pPr>
          </w:p>
        </w:tc>
        <w:tc>
          <w:tcPr>
            <w:tcW w:w="993" w:type="dxa"/>
            <w:vAlign w:val="center"/>
          </w:tcPr>
          <w:p>
            <w:pPr>
              <w:jc w:val="center"/>
              <w:rPr>
                <w:rFonts w:ascii="宋体" w:hAnsi="宋体" w:cs="MT Extra"/>
                <w:color w:val="000000"/>
                <w:szCs w:val="21"/>
              </w:rPr>
            </w:pPr>
          </w:p>
        </w:tc>
        <w:tc>
          <w:tcPr>
            <w:tcW w:w="1369" w:type="dxa"/>
            <w:vAlign w:val="center"/>
          </w:tcPr>
          <w:p>
            <w:pPr>
              <w:jc w:val="center"/>
              <w:rPr>
                <w:rFonts w:ascii="宋体" w:hAnsi="宋体" w:cs="MT Extra"/>
                <w:color w:val="000000"/>
                <w:szCs w:val="21"/>
              </w:rPr>
            </w:pPr>
          </w:p>
        </w:tc>
        <w:tc>
          <w:tcPr>
            <w:tcW w:w="1428" w:type="dxa"/>
            <w:vAlign w:val="center"/>
          </w:tcPr>
          <w:p>
            <w:pPr>
              <w:jc w:val="center"/>
              <w:rPr>
                <w:rFonts w:ascii="宋体" w:hAnsi="宋体" w:cs="MT Extra"/>
                <w:color w:val="000000"/>
                <w:szCs w:val="21"/>
              </w:rPr>
            </w:pPr>
          </w:p>
        </w:tc>
        <w:tc>
          <w:tcPr>
            <w:tcW w:w="898" w:type="dxa"/>
            <w:vAlign w:val="center"/>
          </w:tcPr>
          <w:p>
            <w:pPr>
              <w:jc w:val="center"/>
              <w:rPr>
                <w:rFonts w:ascii="宋体" w:hAnsi="宋体" w:cs="MT Extra"/>
                <w:color w:val="000000"/>
                <w:szCs w:val="21"/>
              </w:rPr>
            </w:pPr>
          </w:p>
        </w:tc>
        <w:tc>
          <w:tcPr>
            <w:tcW w:w="1737" w:type="dxa"/>
            <w:vAlign w:val="center"/>
          </w:tcPr>
          <w:p>
            <w:pPr>
              <w:jc w:val="center"/>
              <w:rPr>
                <w:rFonts w:ascii="宋体" w:hAnsi="宋体" w:cs="MT Extra"/>
                <w:color w:val="000000"/>
                <w:szCs w:val="21"/>
              </w:rPr>
            </w:pPr>
          </w:p>
        </w:tc>
        <w:tc>
          <w:tcPr>
            <w:tcW w:w="848" w:type="dxa"/>
            <w:vAlign w:val="center"/>
          </w:tcPr>
          <w:p>
            <w:pPr>
              <w:jc w:val="center"/>
              <w:rPr>
                <w:rFonts w:ascii="宋体" w:hAnsi="宋体" w:cs="MT Extra"/>
                <w:color w:val="000000"/>
                <w:szCs w:val="21"/>
              </w:rPr>
            </w:pPr>
          </w:p>
        </w:tc>
        <w:tc>
          <w:tcPr>
            <w:tcW w:w="884" w:type="dxa"/>
            <w:vAlign w:val="center"/>
          </w:tcPr>
          <w:p>
            <w:pPr>
              <w:spacing w:line="800" w:lineRule="exact"/>
              <w:jc w:val="center"/>
              <w:rPr>
                <w:rFonts w:ascii="宋体" w:hAnsi="宋体" w:cs="MT Extr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4" w:type="dxa"/>
          </w:tcPr>
          <w:p>
            <w:pPr>
              <w:spacing w:line="800" w:lineRule="exact"/>
              <w:rPr>
                <w:rFonts w:ascii="宋体" w:hAnsi="宋体" w:cs="MT Extra"/>
                <w:color w:val="000000"/>
                <w:szCs w:val="21"/>
              </w:rPr>
            </w:pPr>
          </w:p>
        </w:tc>
        <w:tc>
          <w:tcPr>
            <w:tcW w:w="993" w:type="dxa"/>
          </w:tcPr>
          <w:p>
            <w:pPr>
              <w:spacing w:line="800" w:lineRule="exact"/>
              <w:rPr>
                <w:rFonts w:ascii="宋体" w:hAnsi="宋体" w:cs="MT Extra"/>
                <w:color w:val="000000"/>
                <w:szCs w:val="21"/>
              </w:rPr>
            </w:pPr>
          </w:p>
        </w:tc>
        <w:tc>
          <w:tcPr>
            <w:tcW w:w="1369" w:type="dxa"/>
          </w:tcPr>
          <w:p>
            <w:pPr>
              <w:spacing w:line="800" w:lineRule="exact"/>
              <w:rPr>
                <w:rFonts w:ascii="宋体" w:hAnsi="宋体" w:cs="MT Extra"/>
                <w:color w:val="000000"/>
                <w:szCs w:val="21"/>
              </w:rPr>
            </w:pPr>
          </w:p>
        </w:tc>
        <w:tc>
          <w:tcPr>
            <w:tcW w:w="1428" w:type="dxa"/>
          </w:tcPr>
          <w:p>
            <w:pPr>
              <w:spacing w:line="800" w:lineRule="exact"/>
              <w:rPr>
                <w:rFonts w:ascii="宋体" w:hAnsi="宋体" w:cs="MT Extra"/>
                <w:color w:val="000000"/>
                <w:szCs w:val="21"/>
              </w:rPr>
            </w:pPr>
          </w:p>
        </w:tc>
        <w:tc>
          <w:tcPr>
            <w:tcW w:w="898" w:type="dxa"/>
          </w:tcPr>
          <w:p>
            <w:pPr>
              <w:spacing w:line="800" w:lineRule="exact"/>
              <w:rPr>
                <w:rFonts w:ascii="宋体" w:hAnsi="宋体" w:cs="MT Extra"/>
                <w:color w:val="000000"/>
                <w:szCs w:val="21"/>
              </w:rPr>
            </w:pPr>
          </w:p>
        </w:tc>
        <w:tc>
          <w:tcPr>
            <w:tcW w:w="1737" w:type="dxa"/>
          </w:tcPr>
          <w:p>
            <w:pPr>
              <w:spacing w:line="800" w:lineRule="exact"/>
              <w:rPr>
                <w:rFonts w:ascii="宋体" w:hAnsi="宋体" w:cs="MT Extra"/>
                <w:color w:val="000000"/>
                <w:szCs w:val="21"/>
              </w:rPr>
            </w:pPr>
          </w:p>
        </w:tc>
        <w:tc>
          <w:tcPr>
            <w:tcW w:w="848" w:type="dxa"/>
          </w:tcPr>
          <w:p>
            <w:pPr>
              <w:spacing w:line="800" w:lineRule="exact"/>
              <w:rPr>
                <w:rFonts w:ascii="宋体" w:hAnsi="宋体" w:cs="MT Extra"/>
                <w:color w:val="000000"/>
                <w:szCs w:val="21"/>
              </w:rPr>
            </w:pPr>
          </w:p>
        </w:tc>
        <w:tc>
          <w:tcPr>
            <w:tcW w:w="884" w:type="dxa"/>
          </w:tcPr>
          <w:p>
            <w:pPr>
              <w:spacing w:line="800" w:lineRule="exact"/>
              <w:rPr>
                <w:rFonts w:ascii="宋体" w:hAnsi="宋体" w:cs="MT Extr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4" w:type="dxa"/>
          </w:tcPr>
          <w:p>
            <w:pPr>
              <w:spacing w:line="800" w:lineRule="exact"/>
              <w:rPr>
                <w:rFonts w:ascii="宋体" w:hAnsi="宋体" w:cs="MT Extra"/>
                <w:color w:val="000000"/>
                <w:szCs w:val="21"/>
              </w:rPr>
            </w:pPr>
          </w:p>
        </w:tc>
        <w:tc>
          <w:tcPr>
            <w:tcW w:w="993" w:type="dxa"/>
          </w:tcPr>
          <w:p>
            <w:pPr>
              <w:spacing w:line="800" w:lineRule="exact"/>
              <w:rPr>
                <w:rFonts w:ascii="宋体" w:hAnsi="宋体" w:cs="MT Extra"/>
                <w:color w:val="000000"/>
                <w:szCs w:val="21"/>
              </w:rPr>
            </w:pPr>
          </w:p>
        </w:tc>
        <w:tc>
          <w:tcPr>
            <w:tcW w:w="1369" w:type="dxa"/>
          </w:tcPr>
          <w:p>
            <w:pPr>
              <w:spacing w:line="800" w:lineRule="exact"/>
              <w:rPr>
                <w:rFonts w:ascii="宋体" w:hAnsi="宋体" w:cs="MT Extra"/>
                <w:color w:val="000000"/>
                <w:szCs w:val="21"/>
              </w:rPr>
            </w:pPr>
          </w:p>
        </w:tc>
        <w:tc>
          <w:tcPr>
            <w:tcW w:w="1428" w:type="dxa"/>
          </w:tcPr>
          <w:p>
            <w:pPr>
              <w:spacing w:line="800" w:lineRule="exact"/>
              <w:rPr>
                <w:rFonts w:ascii="宋体" w:hAnsi="宋体" w:cs="MT Extra"/>
                <w:color w:val="000000"/>
                <w:szCs w:val="21"/>
              </w:rPr>
            </w:pPr>
          </w:p>
        </w:tc>
        <w:tc>
          <w:tcPr>
            <w:tcW w:w="898" w:type="dxa"/>
          </w:tcPr>
          <w:p>
            <w:pPr>
              <w:spacing w:line="800" w:lineRule="exact"/>
              <w:rPr>
                <w:rFonts w:ascii="宋体" w:hAnsi="宋体" w:cs="MT Extra"/>
                <w:color w:val="000000"/>
                <w:szCs w:val="21"/>
              </w:rPr>
            </w:pPr>
          </w:p>
        </w:tc>
        <w:tc>
          <w:tcPr>
            <w:tcW w:w="1737" w:type="dxa"/>
          </w:tcPr>
          <w:p>
            <w:pPr>
              <w:spacing w:line="800" w:lineRule="exact"/>
              <w:rPr>
                <w:rFonts w:ascii="宋体" w:hAnsi="宋体" w:cs="MT Extra"/>
                <w:color w:val="000000"/>
                <w:szCs w:val="21"/>
              </w:rPr>
            </w:pPr>
          </w:p>
        </w:tc>
        <w:tc>
          <w:tcPr>
            <w:tcW w:w="848" w:type="dxa"/>
          </w:tcPr>
          <w:p>
            <w:pPr>
              <w:spacing w:line="800" w:lineRule="exact"/>
              <w:rPr>
                <w:rFonts w:ascii="宋体" w:hAnsi="宋体" w:cs="MT Extra"/>
                <w:color w:val="000000"/>
                <w:szCs w:val="21"/>
              </w:rPr>
            </w:pPr>
          </w:p>
        </w:tc>
        <w:tc>
          <w:tcPr>
            <w:tcW w:w="884" w:type="dxa"/>
          </w:tcPr>
          <w:p>
            <w:pPr>
              <w:spacing w:line="800" w:lineRule="exact"/>
              <w:rPr>
                <w:rFonts w:ascii="宋体" w:hAnsi="宋体" w:cs="MT Extr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134" w:type="dxa"/>
          </w:tcPr>
          <w:p>
            <w:pPr>
              <w:spacing w:line="800" w:lineRule="exact"/>
              <w:rPr>
                <w:rFonts w:ascii="宋体" w:hAnsi="宋体" w:cs="MT Extra"/>
                <w:color w:val="000000"/>
                <w:szCs w:val="21"/>
              </w:rPr>
            </w:pPr>
          </w:p>
        </w:tc>
        <w:tc>
          <w:tcPr>
            <w:tcW w:w="993" w:type="dxa"/>
          </w:tcPr>
          <w:p>
            <w:pPr>
              <w:spacing w:line="800" w:lineRule="exact"/>
              <w:rPr>
                <w:rFonts w:ascii="宋体" w:hAnsi="宋体" w:cs="MT Extra"/>
                <w:color w:val="000000"/>
                <w:szCs w:val="21"/>
              </w:rPr>
            </w:pPr>
          </w:p>
        </w:tc>
        <w:tc>
          <w:tcPr>
            <w:tcW w:w="1369" w:type="dxa"/>
          </w:tcPr>
          <w:p>
            <w:pPr>
              <w:spacing w:line="800" w:lineRule="exact"/>
              <w:rPr>
                <w:rFonts w:ascii="宋体" w:hAnsi="宋体" w:cs="MT Extra"/>
                <w:color w:val="000000"/>
                <w:szCs w:val="21"/>
              </w:rPr>
            </w:pPr>
          </w:p>
        </w:tc>
        <w:tc>
          <w:tcPr>
            <w:tcW w:w="1428" w:type="dxa"/>
          </w:tcPr>
          <w:p>
            <w:pPr>
              <w:spacing w:line="800" w:lineRule="exact"/>
              <w:rPr>
                <w:rFonts w:ascii="宋体" w:hAnsi="宋体" w:cs="MT Extra"/>
                <w:color w:val="000000"/>
                <w:szCs w:val="21"/>
              </w:rPr>
            </w:pPr>
          </w:p>
        </w:tc>
        <w:tc>
          <w:tcPr>
            <w:tcW w:w="898" w:type="dxa"/>
          </w:tcPr>
          <w:p>
            <w:pPr>
              <w:spacing w:line="800" w:lineRule="exact"/>
              <w:rPr>
                <w:rFonts w:ascii="宋体" w:hAnsi="宋体" w:cs="MT Extra"/>
                <w:color w:val="000000"/>
                <w:szCs w:val="21"/>
              </w:rPr>
            </w:pPr>
          </w:p>
        </w:tc>
        <w:tc>
          <w:tcPr>
            <w:tcW w:w="1737" w:type="dxa"/>
          </w:tcPr>
          <w:p>
            <w:pPr>
              <w:spacing w:line="800" w:lineRule="exact"/>
              <w:rPr>
                <w:rFonts w:ascii="宋体" w:hAnsi="宋体" w:cs="MT Extra"/>
                <w:color w:val="000000"/>
                <w:szCs w:val="21"/>
              </w:rPr>
            </w:pPr>
          </w:p>
        </w:tc>
        <w:tc>
          <w:tcPr>
            <w:tcW w:w="848" w:type="dxa"/>
          </w:tcPr>
          <w:p>
            <w:pPr>
              <w:spacing w:line="800" w:lineRule="exact"/>
              <w:rPr>
                <w:rFonts w:ascii="宋体" w:hAnsi="宋体" w:cs="MT Extra"/>
                <w:color w:val="000000"/>
                <w:szCs w:val="21"/>
              </w:rPr>
            </w:pPr>
          </w:p>
        </w:tc>
        <w:tc>
          <w:tcPr>
            <w:tcW w:w="884" w:type="dxa"/>
          </w:tcPr>
          <w:p>
            <w:pPr>
              <w:spacing w:line="800" w:lineRule="exact"/>
              <w:rPr>
                <w:rFonts w:ascii="宋体" w:hAnsi="宋体" w:cs="MT Extra"/>
                <w:color w:val="000000"/>
                <w:szCs w:val="21"/>
              </w:rPr>
            </w:pPr>
          </w:p>
        </w:tc>
      </w:tr>
    </w:tbl>
    <w:p>
      <w:pPr>
        <w:spacing w:line="400" w:lineRule="exact"/>
        <w:ind w:left="2399" w:leftChars="228" w:hanging="1920" w:hangingChars="800"/>
        <w:rPr>
          <w:color w:val="FF0000"/>
          <w:sz w:val="24"/>
        </w:rPr>
      </w:pPr>
    </w:p>
    <w:p>
      <w:pPr>
        <w:adjustRightInd w:val="0"/>
        <w:snapToGrid w:val="0"/>
        <w:spacing w:line="360" w:lineRule="auto"/>
        <w:rPr>
          <w:rFonts w:ascii="宋体" w:hAnsi="宋体"/>
          <w:sz w:val="28"/>
          <w:szCs w:val="28"/>
        </w:rPr>
      </w:pPr>
    </w:p>
    <w:p>
      <w:pPr>
        <w:autoSpaceDE w:val="0"/>
        <w:autoSpaceDN w:val="0"/>
        <w:adjustRightInd w:val="0"/>
        <w:snapToGrid w:val="0"/>
        <w:spacing w:line="360" w:lineRule="auto"/>
        <w:jc w:val="left"/>
        <w:rPr>
          <w:rFonts w:ascii="仿宋_GB2312" w:eastAsia="仿宋_GB2312" w:cs="宋体"/>
          <w:color w:val="000000"/>
          <w:kern w:val="0"/>
          <w:sz w:val="32"/>
          <w:szCs w:val="32"/>
        </w:rPr>
      </w:pPr>
    </w:p>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MS Gothic">
    <w:panose1 w:val="020B0609070205080204"/>
    <w:charset w:val="80"/>
    <w:family w:val="modern"/>
    <w:pitch w:val="default"/>
    <w:sig w:usb0="E00002FF" w:usb1="6AC7FDFB" w:usb2="00000012" w:usb3="00000000" w:csb0="4002009F" w:csb1="DFD70000"/>
  </w:font>
  <w:font w:name="MT Extra">
    <w:panose1 w:val="05050102010205020202"/>
    <w:charset w:val="02"/>
    <w:family w:val="roman"/>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ilqr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I8d5qRfD&#10;h21CNoVkrnCEPRXG0RWZpzXLu/G3X7Jefob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N&#10;GKWqtwEAAFQDAAAOAAAAAAAAAAEAIAAAAB4BAABkcnMvZTJvRG9jLnhtbFBLBQYAAAAABgAGAFkB&#10;AABHBQAAAAA=&#1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8B88C"/>
    <w:multiLevelType w:val="singleLevel"/>
    <w:tmpl w:val="5A28B88C"/>
    <w:lvl w:ilvl="0" w:tentative="0">
      <w:start w:val="1"/>
      <w:numFmt w:val="chineseCounting"/>
      <w:suff w:val="nothing"/>
      <w:lvlText w:val="第%1部"/>
      <w:lvlJc w:val="left"/>
    </w:lvl>
  </w:abstractNum>
  <w:abstractNum w:abstractNumId="1">
    <w:nsid w:val="5A28F254"/>
    <w:multiLevelType w:val="singleLevel"/>
    <w:tmpl w:val="5A28F25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195944"/>
    <w:rsid w:val="70195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2017-12-11T09:52:00Z</dcterms:created>
  <dc:creator>RX</dc:creator>
  <cp:lastModifiedBy>RX</cp:lastModifiedBy>
  <dcterms:modified xsi:type="dcterms:W3CDTF">2017-12-11T09:53:38Z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